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D658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6DB9E387" w14:textId="77777777" w:rsidR="00A443DD" w:rsidRPr="004D57C3" w:rsidRDefault="00A443DD" w:rsidP="00A443DD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TÉRMINOS DE REFERENCIA/SERVICIO</w:t>
      </w:r>
    </w:p>
    <w:p w14:paraId="0F5AB219" w14:textId="77777777" w:rsidR="00A443DD" w:rsidRPr="004D57C3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</w:p>
    <w:p w14:paraId="256F2CE5" w14:textId="77777777" w:rsidR="00A443DD" w:rsidRPr="004D57C3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CONDICIONES DEL PROCESO</w:t>
      </w:r>
    </w:p>
    <w:p w14:paraId="351A0F6E" w14:textId="77777777" w:rsidR="00A443DD" w:rsidRPr="004D57C3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</w:p>
    <w:p w14:paraId="43CEB851" w14:textId="24125B12" w:rsidR="00A443DD" w:rsidRPr="004D57C3" w:rsidRDefault="00A443DD" w:rsidP="00A443DD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 xml:space="preserve">FECHA: </w:t>
      </w:r>
      <w:r w:rsidR="00F31CEA">
        <w:rPr>
          <w:rFonts w:ascii="Arial" w:hAnsi="Arial" w:cs="Arial"/>
          <w:bCs/>
          <w:color w:val="00B0F0"/>
          <w:sz w:val="22"/>
          <w:szCs w:val="22"/>
        </w:rPr>
        <w:t>17</w:t>
      </w:r>
      <w:r w:rsidR="00041D41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C1432A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6C81CE98" w14:textId="77777777" w:rsidR="00A443DD" w:rsidRPr="004D57C3" w:rsidRDefault="00A443DD" w:rsidP="00A443DD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4ADF8EE2" w14:textId="77777777" w:rsidR="00A443DD" w:rsidRPr="004D57C3" w:rsidRDefault="00A443DD" w:rsidP="00A443DD">
      <w:pPr>
        <w:jc w:val="right"/>
        <w:rPr>
          <w:rFonts w:ascii="Arial" w:hAnsi="Arial" w:cs="Arial"/>
          <w:color w:val="00B0F0"/>
          <w:sz w:val="22"/>
          <w:szCs w:val="22"/>
        </w:rPr>
      </w:pPr>
    </w:p>
    <w:p w14:paraId="7D796311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ANTECEDENTES:</w:t>
      </w:r>
      <w:r w:rsidR="00AE29E0">
        <w:rPr>
          <w:rFonts w:ascii="Arial" w:hAnsi="Arial" w:cs="Arial"/>
          <w:b/>
        </w:rPr>
        <w:t xml:space="preserve"> </w:t>
      </w:r>
    </w:p>
    <w:p w14:paraId="34DA83C1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3DFD5144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OBJETIVOS:</w:t>
      </w:r>
    </w:p>
    <w:p w14:paraId="3A23627D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A862581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ALCANCE:</w:t>
      </w:r>
    </w:p>
    <w:p w14:paraId="0759CCBD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1B102057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METODOLOGÍA DE TRABAJO:</w:t>
      </w:r>
    </w:p>
    <w:p w14:paraId="54B56D7D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4F3643FA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INFORMACIÓN QUE DISPONE LA ENTIDAD:</w:t>
      </w:r>
    </w:p>
    <w:p w14:paraId="6FDAB96A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3508116B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PRODUCTOS O SERVICIOS ESPERADOS:</w:t>
      </w:r>
    </w:p>
    <w:p w14:paraId="1190FDBB" w14:textId="77777777" w:rsidR="00A443DD" w:rsidRPr="004D57C3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0262A9D5" w14:textId="77777777" w:rsidR="00A443DD" w:rsidRPr="004D57C3" w:rsidRDefault="00A443DD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>Los términos de referencia para la presente contratación se detallan a continuación:</w:t>
      </w:r>
    </w:p>
    <w:p w14:paraId="1E19FB04" w14:textId="77777777" w:rsidR="00A443DD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65BF897E" w14:textId="77777777" w:rsidR="00BD597B" w:rsidRPr="00BD597B" w:rsidRDefault="00BD597B" w:rsidP="00BD597B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BD597B">
        <w:rPr>
          <w:rFonts w:ascii="Arial" w:hAnsi="Arial" w:cs="Arial"/>
          <w:b/>
          <w:color w:val="00B0F0"/>
          <w:sz w:val="22"/>
          <w:szCs w:val="22"/>
        </w:rPr>
        <w:t>SE DEBERÁ DESGLOSAR Y ENUMERAR DE FORMA DETALLADA E INDIVIDUAL EL SERVICIO, DENOMINADO ÍTEM, QUE CONFORMA LA CONTRATACIÓN, ESPECIFICANDO EL CÓDIGO CPC, LA CANTIDAD DE UNIDADES REQUERIDAS.</w:t>
      </w:r>
    </w:p>
    <w:p w14:paraId="000A8ABB" w14:textId="77777777" w:rsidR="00490903" w:rsidRPr="00BD597B" w:rsidRDefault="00490903" w:rsidP="00BD597B">
      <w:pPr>
        <w:rPr>
          <w:rFonts w:ascii="Arial" w:hAnsi="Arial" w:cs="Arial"/>
          <w:b/>
        </w:rPr>
      </w:pPr>
    </w:p>
    <w:p w14:paraId="2F78E740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DATOS GENERALES:</w:t>
      </w:r>
    </w:p>
    <w:p w14:paraId="4C4C4862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2581BFAE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7.1 OBJETO CONTRATO DE ADQUISICIÓN:</w:t>
      </w:r>
    </w:p>
    <w:p w14:paraId="7DA33526" w14:textId="77777777" w:rsidR="00A443DD" w:rsidRPr="004D57C3" w:rsidRDefault="00A443DD" w:rsidP="00A443DD">
      <w:pPr>
        <w:tabs>
          <w:tab w:val="left" w:pos="3150"/>
        </w:tabs>
        <w:jc w:val="both"/>
        <w:rPr>
          <w:rFonts w:ascii="Arial" w:hAnsi="Arial" w:cs="Arial"/>
          <w:b/>
          <w:sz w:val="22"/>
          <w:szCs w:val="22"/>
        </w:rPr>
      </w:pPr>
    </w:p>
    <w:p w14:paraId="793AE2D2" w14:textId="77777777" w:rsidR="00A443DD" w:rsidRPr="004D57C3" w:rsidRDefault="009E47D2" w:rsidP="00A443DD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9E47D2">
        <w:rPr>
          <w:rFonts w:ascii="Arial" w:hAnsi="Arial" w:cs="Arial"/>
          <w:bCs/>
          <w:color w:val="00B0F0"/>
          <w:sz w:val="22"/>
          <w:szCs w:val="22"/>
        </w:rPr>
        <w:t>CONTRATACIÓN DE SEGURO DE ACCIDENTES PERSONAL PARA LOS ESTUDIANTES DE LA UNIVERSIDAD TÉCNICA DEL NORTE</w:t>
      </w:r>
    </w:p>
    <w:p w14:paraId="631C8168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579D5B01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7.2 PRESUPUESTO REFERENCIAL (SIN IVA):</w:t>
      </w:r>
    </w:p>
    <w:p w14:paraId="4AB9289A" w14:textId="77777777" w:rsidR="009C21C4" w:rsidRDefault="009C21C4" w:rsidP="009529E2">
      <w:pPr>
        <w:tabs>
          <w:tab w:val="left" w:pos="3150"/>
        </w:tabs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3C5783B9" w14:textId="77777777" w:rsidR="009C21C4" w:rsidRPr="009C21C4" w:rsidRDefault="009C21C4" w:rsidP="009C21C4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9C21C4">
        <w:rPr>
          <w:rFonts w:ascii="Arial" w:hAnsi="Arial" w:cs="Arial"/>
          <w:bCs/>
          <w:sz w:val="22"/>
          <w:szCs w:val="22"/>
        </w:rPr>
        <w:t xml:space="preserve">El precio de la oferta deberá cubrir todas las actividades </w:t>
      </w:r>
      <w:r>
        <w:rPr>
          <w:rFonts w:ascii="Arial" w:hAnsi="Arial" w:cs="Arial"/>
          <w:bCs/>
          <w:sz w:val="22"/>
          <w:szCs w:val="22"/>
        </w:rPr>
        <w:t xml:space="preserve">y costos necesarios para que el </w:t>
      </w:r>
      <w:r w:rsidRPr="009C21C4">
        <w:rPr>
          <w:rFonts w:ascii="Arial" w:hAnsi="Arial" w:cs="Arial"/>
          <w:bCs/>
          <w:sz w:val="22"/>
          <w:szCs w:val="22"/>
        </w:rPr>
        <w:t>oferente preste los servicios de seguros objeto de la contratación en cump</w:t>
      </w:r>
      <w:r>
        <w:rPr>
          <w:rFonts w:ascii="Arial" w:hAnsi="Arial" w:cs="Arial"/>
          <w:bCs/>
          <w:sz w:val="22"/>
          <w:szCs w:val="22"/>
        </w:rPr>
        <w:t xml:space="preserve">limiento de los </w:t>
      </w:r>
      <w:r w:rsidRPr="009C21C4">
        <w:rPr>
          <w:rFonts w:ascii="Arial" w:hAnsi="Arial" w:cs="Arial"/>
          <w:bCs/>
          <w:sz w:val="22"/>
          <w:szCs w:val="22"/>
        </w:rPr>
        <w:t>términos de referencia correspondientes y a plena satisfacción de la entidad contratante.</w:t>
      </w:r>
    </w:p>
    <w:p w14:paraId="046519A4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35955C5B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7.3 PLAZO EJECUCIÓN:</w:t>
      </w:r>
    </w:p>
    <w:p w14:paraId="3E04D63E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5A9BD16D" w14:textId="77777777" w:rsidR="00A443DD" w:rsidRDefault="00C53B30" w:rsidP="0015461D">
      <w:pPr>
        <w:jc w:val="both"/>
        <w:rPr>
          <w:rFonts w:ascii="Arial" w:hAnsi="Arial" w:cs="Arial"/>
          <w:color w:val="00B0F0"/>
        </w:rPr>
      </w:pPr>
      <w:r w:rsidRPr="0015461D">
        <w:rPr>
          <w:rFonts w:ascii="Arial" w:hAnsi="Arial" w:cs="Arial"/>
          <w:color w:val="00B0F0"/>
        </w:rPr>
        <w:t>El plazo de ejecución es de 365 días</w:t>
      </w:r>
      <w:r w:rsidR="0015461D">
        <w:rPr>
          <w:rFonts w:ascii="Arial" w:hAnsi="Arial" w:cs="Arial"/>
          <w:color w:val="00B0F0"/>
        </w:rPr>
        <w:t>.</w:t>
      </w:r>
    </w:p>
    <w:p w14:paraId="26BE38B0" w14:textId="77777777" w:rsidR="0015461D" w:rsidRPr="0015461D" w:rsidRDefault="0015461D" w:rsidP="0015461D">
      <w:pPr>
        <w:jc w:val="both"/>
        <w:rPr>
          <w:rFonts w:ascii="Arial" w:hAnsi="Arial" w:cs="Arial"/>
          <w:color w:val="00B0F0"/>
        </w:rPr>
      </w:pPr>
    </w:p>
    <w:p w14:paraId="6A91759A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7.4 VIGENCIA DE LA OFERTA:</w:t>
      </w:r>
    </w:p>
    <w:p w14:paraId="69598197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9CD663B" w14:textId="77777777" w:rsidR="00A443DD" w:rsidRPr="004D57C3" w:rsidRDefault="009529E2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>Las ofertas presentadas tendrán una vigencia</w:t>
      </w:r>
      <w:r w:rsidR="00E53376">
        <w:rPr>
          <w:rFonts w:ascii="Arial" w:hAnsi="Arial" w:cs="Arial"/>
          <w:color w:val="00B0F0"/>
        </w:rPr>
        <w:t xml:space="preserve"> mínima</w:t>
      </w:r>
      <w:r w:rsidRPr="004D57C3">
        <w:rPr>
          <w:rFonts w:ascii="Arial" w:hAnsi="Arial" w:cs="Arial"/>
          <w:color w:val="00B0F0"/>
        </w:rPr>
        <w:t xml:space="preserve"> de </w:t>
      </w:r>
      <w:r w:rsidR="00A443DD" w:rsidRPr="004D57C3">
        <w:rPr>
          <w:rFonts w:ascii="Arial" w:hAnsi="Arial" w:cs="Arial"/>
          <w:color w:val="00B0F0"/>
        </w:rPr>
        <w:t>30 días</w:t>
      </w:r>
      <w:r w:rsidR="00E53D09">
        <w:rPr>
          <w:rFonts w:ascii="Arial" w:hAnsi="Arial" w:cs="Arial"/>
          <w:color w:val="00B0F0"/>
        </w:rPr>
        <w:t>.</w:t>
      </w:r>
    </w:p>
    <w:p w14:paraId="47D7C03F" w14:textId="77777777" w:rsidR="00A443DD" w:rsidRPr="004D57C3" w:rsidRDefault="00A443DD" w:rsidP="00A443DD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</w:rPr>
      </w:pPr>
      <w:r w:rsidRPr="004D57C3">
        <w:rPr>
          <w:rFonts w:ascii="Arial" w:hAnsi="Arial" w:cs="Arial"/>
        </w:rPr>
        <w:tab/>
      </w:r>
    </w:p>
    <w:p w14:paraId="3AF7106C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4D57C3">
        <w:rPr>
          <w:rFonts w:ascii="Arial" w:hAnsi="Arial" w:cs="Arial"/>
          <w:b/>
        </w:rPr>
        <w:t>7.5 LA EJECUCIÓN DEL CONTRATO INICIA:</w:t>
      </w:r>
    </w:p>
    <w:p w14:paraId="333DC96A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6464BA9A" w14:textId="77777777" w:rsidR="004452BF" w:rsidRDefault="004452BF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lastRenderedPageBreak/>
        <w:t>Opciones:</w:t>
      </w:r>
    </w:p>
    <w:p w14:paraId="075790A6" w14:textId="77777777" w:rsidR="004452BF" w:rsidRDefault="004452BF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</w:p>
    <w:p w14:paraId="4554D698" w14:textId="77777777" w:rsidR="00A443DD" w:rsidRPr="00DD7D05" w:rsidRDefault="00C53B30" w:rsidP="00DD7D0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C53B30">
        <w:rPr>
          <w:rFonts w:ascii="Arial" w:hAnsi="Arial" w:cs="Arial"/>
          <w:color w:val="00B0F0"/>
        </w:rPr>
        <w:t>El plazo de ejecución inicia a pa</w:t>
      </w:r>
      <w:r w:rsidR="0015461D">
        <w:rPr>
          <w:rFonts w:ascii="Arial" w:hAnsi="Arial" w:cs="Arial"/>
          <w:color w:val="00B0F0"/>
        </w:rPr>
        <w:t>rtir del 01 de febrero del 2025, 12:00 horas, fecha en la que vence la póliza vigente.</w:t>
      </w:r>
      <w:r w:rsidR="00DD7D05" w:rsidRPr="00DD7D05">
        <w:t xml:space="preserve"> </w:t>
      </w:r>
      <w:r w:rsidR="00DD7D05" w:rsidRPr="00DD7D05">
        <w:rPr>
          <w:rFonts w:ascii="Arial" w:hAnsi="Arial" w:cs="Arial"/>
          <w:color w:val="FF0000"/>
        </w:rPr>
        <w:t>NO puede iniciar la</w:t>
      </w:r>
      <w:r w:rsidR="00DD7D05">
        <w:rPr>
          <w:rFonts w:ascii="Arial" w:hAnsi="Arial" w:cs="Arial"/>
          <w:color w:val="FF0000"/>
        </w:rPr>
        <w:t xml:space="preserve"> ejecución antes de la fecha de emisión de la póliza (sin efecto retroactivo).</w:t>
      </w:r>
    </w:p>
    <w:p w14:paraId="62B95816" w14:textId="77777777" w:rsidR="0015461D" w:rsidRDefault="0015461D" w:rsidP="0015461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El plazo de ejecución inicia a partir del día siguiente a la fecha de </w:t>
      </w:r>
      <w:r w:rsidRPr="0015461D">
        <w:rPr>
          <w:rFonts w:ascii="Arial" w:hAnsi="Arial" w:cs="Arial"/>
          <w:color w:val="00B0F0"/>
        </w:rPr>
        <w:t>adjudicación del proceso.</w:t>
      </w:r>
    </w:p>
    <w:p w14:paraId="7B754025" w14:textId="77777777" w:rsidR="0015461D" w:rsidRDefault="0015461D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</w:p>
    <w:p w14:paraId="5C2ACAD1" w14:textId="77777777" w:rsidR="00C53B30" w:rsidRPr="004D57C3" w:rsidRDefault="00C53B30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70B3AC08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7.6 FORMA DE PAGO:</w:t>
      </w:r>
    </w:p>
    <w:p w14:paraId="37DBB5A1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02D3ABBF" w14:textId="77777777" w:rsidR="000D2485" w:rsidRPr="004D57C3" w:rsidRDefault="000D2485" w:rsidP="000D2485">
      <w:pPr>
        <w:pStyle w:val="Prrafodelista"/>
        <w:rPr>
          <w:rFonts w:ascii="Arial" w:hAnsi="Arial" w:cs="Arial"/>
        </w:rPr>
      </w:pPr>
      <w:r w:rsidRPr="004D57C3">
        <w:rPr>
          <w:rFonts w:ascii="Arial" w:hAnsi="Arial" w:cs="Arial"/>
        </w:rPr>
        <w:t>Opciones:</w:t>
      </w:r>
    </w:p>
    <w:p w14:paraId="0D707217" w14:textId="77777777" w:rsidR="00A443DD" w:rsidRDefault="00E80957" w:rsidP="00E80957">
      <w:pPr>
        <w:jc w:val="both"/>
        <w:rPr>
          <w:rFonts w:ascii="Arial" w:eastAsia="Calibri" w:hAnsi="Arial" w:cs="Arial"/>
          <w:color w:val="00B0F0"/>
          <w:sz w:val="22"/>
          <w:szCs w:val="22"/>
          <w:lang w:val="es-EC" w:eastAsia="en-US"/>
        </w:rPr>
      </w:pPr>
      <w:r w:rsidRPr="00E80957">
        <w:rPr>
          <w:rFonts w:ascii="Arial" w:eastAsia="Calibri" w:hAnsi="Arial" w:cs="Arial"/>
          <w:color w:val="00B0F0"/>
          <w:sz w:val="22"/>
          <w:szCs w:val="22"/>
          <w:lang w:val="es-EC" w:eastAsia="en-US"/>
        </w:rPr>
        <w:t xml:space="preserve">El pago </w:t>
      </w:r>
      <w:r w:rsidR="00B15FFD">
        <w:rPr>
          <w:rFonts w:ascii="Arial" w:eastAsia="Calibri" w:hAnsi="Arial" w:cs="Arial"/>
          <w:color w:val="00B0F0"/>
          <w:sz w:val="22"/>
          <w:szCs w:val="22"/>
          <w:lang w:val="es-EC" w:eastAsia="en-US"/>
        </w:rPr>
        <w:t xml:space="preserve">del 100% del valor contratado se realizará </w:t>
      </w:r>
      <w:r w:rsidRPr="00E80957">
        <w:rPr>
          <w:rFonts w:ascii="Arial" w:eastAsia="Calibri" w:hAnsi="Arial" w:cs="Arial"/>
          <w:color w:val="00B0F0"/>
          <w:sz w:val="22"/>
          <w:szCs w:val="22"/>
          <w:lang w:val="es-EC" w:eastAsia="en-US"/>
        </w:rPr>
        <w:t>contra entrega de las pólizas con sus respectivas facturas.</w:t>
      </w:r>
    </w:p>
    <w:p w14:paraId="2DD59C93" w14:textId="77777777" w:rsidR="00E80957" w:rsidRDefault="00E80957" w:rsidP="00E80957">
      <w:pPr>
        <w:jc w:val="both"/>
        <w:rPr>
          <w:rFonts w:ascii="Arial" w:eastAsia="Calibri" w:hAnsi="Arial" w:cs="Arial"/>
          <w:color w:val="00B0F0"/>
          <w:sz w:val="22"/>
          <w:szCs w:val="22"/>
          <w:lang w:val="es-EC" w:eastAsia="en-US"/>
        </w:rPr>
      </w:pPr>
    </w:p>
    <w:p w14:paraId="76E47111" w14:textId="77777777" w:rsidR="00E80957" w:rsidRPr="00E80957" w:rsidRDefault="00E80957" w:rsidP="00E80957">
      <w:pPr>
        <w:jc w:val="both"/>
        <w:rPr>
          <w:rFonts w:ascii="Arial" w:eastAsia="Calibri" w:hAnsi="Arial" w:cs="Arial"/>
          <w:color w:val="00B0F0"/>
          <w:sz w:val="22"/>
          <w:szCs w:val="22"/>
          <w:lang w:val="es-EC" w:eastAsia="en-US"/>
        </w:rPr>
      </w:pPr>
      <w:r>
        <w:rPr>
          <w:rFonts w:ascii="Arial" w:eastAsia="Calibri" w:hAnsi="Arial" w:cs="Arial"/>
          <w:color w:val="00B0F0"/>
          <w:sz w:val="22"/>
          <w:szCs w:val="22"/>
          <w:lang w:val="es-EC" w:eastAsia="en-US"/>
        </w:rPr>
        <w:t>El acta de entrega-recepción e informe de conformidad serán suscritos y registrados una vez culminado el plazo contractual.</w:t>
      </w:r>
    </w:p>
    <w:p w14:paraId="34D285D3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0B64B1D1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CODIGO CPC CON EL CUAL SE PUBLICA EL PROCESO</w:t>
      </w:r>
    </w:p>
    <w:p w14:paraId="31066150" w14:textId="77777777" w:rsidR="00A443DD" w:rsidRPr="004D57C3" w:rsidRDefault="00A443DD" w:rsidP="00A443DD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A443DD" w:rsidRPr="009D5FE7" w14:paraId="0AE4A7F7" w14:textId="77777777" w:rsidTr="00081EDD">
        <w:trPr>
          <w:trHeight w:val="300"/>
        </w:trPr>
        <w:tc>
          <w:tcPr>
            <w:tcW w:w="1418" w:type="dxa"/>
            <w:noWrap/>
            <w:hideMark/>
          </w:tcPr>
          <w:p w14:paraId="5CD0115A" w14:textId="77777777" w:rsidR="00A443DD" w:rsidRPr="009D5FE7" w:rsidRDefault="00A443DD" w:rsidP="00081EDD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FE7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E96891" w:rsidRPr="009D5F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CPC</w:t>
            </w:r>
          </w:p>
        </w:tc>
        <w:tc>
          <w:tcPr>
            <w:tcW w:w="7655" w:type="dxa"/>
            <w:noWrap/>
            <w:hideMark/>
          </w:tcPr>
          <w:p w14:paraId="35369AFD" w14:textId="77777777" w:rsidR="00A443DD" w:rsidRPr="009D5FE7" w:rsidRDefault="00A443DD" w:rsidP="00081EDD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FE7">
              <w:rPr>
                <w:rFonts w:ascii="Arial" w:hAnsi="Arial" w:cs="Arial"/>
                <w:b/>
                <w:bCs/>
                <w:sz w:val="18"/>
                <w:szCs w:val="18"/>
              </w:rPr>
              <w:t>CÓDIGO CORRESPONDIENTE A:</w:t>
            </w:r>
          </w:p>
        </w:tc>
      </w:tr>
      <w:tr w:rsidR="00A443DD" w:rsidRPr="009D5FE7" w14:paraId="2909230B" w14:textId="77777777" w:rsidTr="00081EDD">
        <w:trPr>
          <w:trHeight w:val="300"/>
        </w:trPr>
        <w:tc>
          <w:tcPr>
            <w:tcW w:w="1418" w:type="dxa"/>
            <w:noWrap/>
            <w:vAlign w:val="center"/>
            <w:hideMark/>
          </w:tcPr>
          <w:p w14:paraId="010C7039" w14:textId="77777777" w:rsidR="00A443DD" w:rsidRPr="009D5FE7" w:rsidRDefault="00E96891" w:rsidP="00081EDD">
            <w:pPr>
              <w:rPr>
                <w:rFonts w:ascii="Arial" w:hAnsi="Arial" w:cs="Arial"/>
                <w:sz w:val="18"/>
                <w:szCs w:val="18"/>
              </w:rPr>
            </w:pPr>
            <w:r w:rsidRPr="009D5FE7">
              <w:rPr>
                <w:rFonts w:ascii="Arial" w:hAnsi="Arial" w:cs="Arial"/>
                <w:bCs/>
                <w:color w:val="00B0F0"/>
                <w:sz w:val="18"/>
                <w:szCs w:val="18"/>
              </w:rPr>
              <w:t>713310011</w:t>
            </w:r>
          </w:p>
        </w:tc>
        <w:tc>
          <w:tcPr>
            <w:tcW w:w="7655" w:type="dxa"/>
            <w:noWrap/>
            <w:vAlign w:val="center"/>
            <w:hideMark/>
          </w:tcPr>
          <w:p w14:paraId="5539E4BE" w14:textId="77777777" w:rsidR="00A443DD" w:rsidRPr="009D5FE7" w:rsidRDefault="00E96891" w:rsidP="00081EDD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D5FE7">
              <w:rPr>
                <w:rFonts w:ascii="Arial" w:hAnsi="Arial" w:cs="Arial"/>
                <w:color w:val="00B0F0"/>
                <w:sz w:val="18"/>
                <w:szCs w:val="18"/>
              </w:rPr>
              <w:t>SERVICIOS DE CONCERTACIÓN DE POLIZAS DE SEGURO QUE PROPORCIONAN PROTECCION EN CASO DE GASTOS MEDICOS Y DE HOSPITAL QUE NO ESTEN CUBIERTOS POR PROGRAMAS OFICIALES Y, GENERALMENTE OTROS GASTOS DE ATENCIÓN MEDICA COMO MEDICAMENTOS PRESCRITOS, APARATOS MEDI.</w:t>
            </w:r>
          </w:p>
        </w:tc>
      </w:tr>
    </w:tbl>
    <w:p w14:paraId="5E923004" w14:textId="77777777" w:rsidR="00A443DD" w:rsidRPr="004D57C3" w:rsidRDefault="00A443DD" w:rsidP="00A443DD">
      <w:pPr>
        <w:rPr>
          <w:rFonts w:ascii="Arial" w:hAnsi="Arial" w:cs="Arial"/>
          <w:sz w:val="22"/>
          <w:szCs w:val="22"/>
        </w:rPr>
      </w:pPr>
    </w:p>
    <w:p w14:paraId="2948ED2F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</w:rPr>
      </w:pPr>
      <w:r w:rsidRPr="004D57C3">
        <w:rPr>
          <w:rFonts w:ascii="Arial" w:hAnsi="Arial" w:cs="Arial"/>
          <w:b/>
        </w:rPr>
        <w:t>FORMA DE PRESENTACIÒN DE LA OFERTA:</w:t>
      </w:r>
    </w:p>
    <w:p w14:paraId="6DBFF4D8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7820FB53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 xml:space="preserve">La </w:t>
      </w:r>
      <w:r w:rsidRPr="004D57C3">
        <w:rPr>
          <w:rFonts w:ascii="Arial" w:hAnsi="Arial" w:cs="Arial"/>
          <w:sz w:val="22"/>
          <w:szCs w:val="22"/>
          <w:lang w:val="es-ES"/>
        </w:rPr>
        <w:t>Universidad Técnica del Norte</w:t>
      </w:r>
      <w:r w:rsidRPr="004D57C3">
        <w:rPr>
          <w:rFonts w:ascii="Arial" w:hAnsi="Arial" w:cs="Arial"/>
          <w:sz w:val="22"/>
          <w:szCs w:val="22"/>
        </w:rPr>
        <w:t xml:space="preserve"> receptará las ofertas únicamente de forma electrónica a través del Sistema Oficial de Contratación Pública del Ecuador-SOCE, con firma electrónica válida, dando cumplimiento a la normativa legal vigente. Adicionalmente indicar, que la oferta deberá contener los formatos actualizados de los formularios emitidos por el SERCOP y que se adjuntan al pliego.</w:t>
      </w:r>
    </w:p>
    <w:p w14:paraId="24569EE8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2A1AF895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EQUIPO MÍNIMO:</w:t>
      </w:r>
    </w:p>
    <w:p w14:paraId="67BF3ED9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2EDAF90E" w14:textId="77777777" w:rsidR="00A443DD" w:rsidRPr="00E96891" w:rsidRDefault="00A443DD" w:rsidP="00E96891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t>NO APLICA.</w:t>
      </w:r>
    </w:p>
    <w:p w14:paraId="219148FB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DA9962E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</w:rPr>
      </w:pPr>
      <w:r w:rsidRPr="004D57C3">
        <w:rPr>
          <w:rFonts w:ascii="Arial" w:hAnsi="Arial" w:cs="Arial"/>
          <w:b/>
        </w:rPr>
        <w:t>PERSONAL TÉCNICO MÍNIMO:</w:t>
      </w:r>
    </w:p>
    <w:p w14:paraId="4DF34A1D" w14:textId="77777777" w:rsidR="00A443DD" w:rsidRPr="004D57C3" w:rsidRDefault="00A443DD" w:rsidP="00A443DD">
      <w:pPr>
        <w:rPr>
          <w:rFonts w:ascii="Arial" w:hAnsi="Arial" w:cs="Arial"/>
          <w:sz w:val="22"/>
          <w:szCs w:val="22"/>
        </w:rPr>
      </w:pPr>
    </w:p>
    <w:p w14:paraId="096F077D" w14:textId="77777777" w:rsidR="00A443DD" w:rsidRPr="004D57C3" w:rsidRDefault="00A443DD" w:rsidP="00A443DD">
      <w:pPr>
        <w:ind w:left="142"/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t>NO APLICA.</w:t>
      </w:r>
    </w:p>
    <w:p w14:paraId="037F0ECB" w14:textId="77777777" w:rsidR="00A443DD" w:rsidRPr="004D57C3" w:rsidRDefault="00A443DD" w:rsidP="00A443DD">
      <w:pPr>
        <w:tabs>
          <w:tab w:val="left" w:pos="3254"/>
        </w:tabs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ab/>
      </w:r>
    </w:p>
    <w:p w14:paraId="3C67470E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EXPERIENCIA MÍNIMA DEL PERSONAL TÉCNICO:</w:t>
      </w:r>
    </w:p>
    <w:p w14:paraId="611DBE99" w14:textId="77777777" w:rsidR="00A443DD" w:rsidRPr="004D57C3" w:rsidRDefault="00A443DD" w:rsidP="00A443DD">
      <w:pPr>
        <w:jc w:val="both"/>
        <w:rPr>
          <w:rFonts w:ascii="Arial" w:hAnsi="Arial" w:cs="Arial"/>
          <w:b/>
          <w:sz w:val="22"/>
          <w:szCs w:val="22"/>
        </w:rPr>
      </w:pPr>
    </w:p>
    <w:p w14:paraId="4D25DD9B" w14:textId="77777777" w:rsidR="00A443DD" w:rsidRPr="00E96891" w:rsidRDefault="00A443DD" w:rsidP="00E96891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t>NO APLICA.</w:t>
      </w:r>
    </w:p>
    <w:p w14:paraId="40B35DF9" w14:textId="77777777" w:rsidR="00A443DD" w:rsidRPr="004D57C3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3C28EB0E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EXPERIENCIA GENERAL Y ESPECÍFICA MÍNIMA.</w:t>
      </w:r>
    </w:p>
    <w:p w14:paraId="08CE4A83" w14:textId="77777777" w:rsidR="00A443DD" w:rsidRPr="004D57C3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6D0D2F92" w14:textId="77777777" w:rsidR="00A443DD" w:rsidRPr="004D57C3" w:rsidRDefault="00AA29A6" w:rsidP="00A443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A443DD" w:rsidRPr="004D57C3">
        <w:rPr>
          <w:rFonts w:ascii="Arial" w:hAnsi="Arial" w:cs="Arial"/>
          <w:b/>
          <w:sz w:val="22"/>
          <w:szCs w:val="22"/>
        </w:rPr>
        <w:t>. 1 EXPERIENCIA GENERAL:</w:t>
      </w:r>
    </w:p>
    <w:p w14:paraId="2DE6E5C8" w14:textId="77777777" w:rsidR="000D2485" w:rsidRPr="004D57C3" w:rsidRDefault="000D2485" w:rsidP="00A443DD">
      <w:pPr>
        <w:rPr>
          <w:rFonts w:ascii="Arial" w:hAnsi="Arial" w:cs="Arial"/>
          <w:b/>
          <w:sz w:val="22"/>
          <w:szCs w:val="22"/>
        </w:rPr>
      </w:pPr>
    </w:p>
    <w:p w14:paraId="0E09F94F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  <w:bookmarkStart w:id="0" w:name="_Hlk106880666"/>
      <w:r w:rsidRPr="004D57C3">
        <w:rPr>
          <w:rFonts w:ascii="Arial" w:hAnsi="Arial" w:cs="Arial"/>
          <w:sz w:val="22"/>
          <w:szCs w:val="22"/>
        </w:rPr>
        <w:t>El oferente deberá presentar, en el caso de ser la experiencia con el sector público</w:t>
      </w:r>
      <w:r w:rsidR="00E03DBE">
        <w:rPr>
          <w:rFonts w:ascii="Arial" w:hAnsi="Arial" w:cs="Arial"/>
          <w:sz w:val="22"/>
          <w:szCs w:val="22"/>
        </w:rPr>
        <w:t xml:space="preserve"> o privado</w:t>
      </w:r>
      <w:r w:rsidRPr="004D57C3">
        <w:rPr>
          <w:rFonts w:ascii="Arial" w:hAnsi="Arial" w:cs="Arial"/>
          <w:sz w:val="22"/>
          <w:szCs w:val="22"/>
        </w:rPr>
        <w:t xml:space="preserve">, 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copias simples legibles </w:t>
      </w:r>
      <w:r w:rsidR="00E03DBE">
        <w:rPr>
          <w:rFonts w:ascii="Arial" w:hAnsi="Arial" w:cs="Arial"/>
          <w:color w:val="00B0F0"/>
          <w:sz w:val="22"/>
          <w:szCs w:val="22"/>
        </w:rPr>
        <w:t>de la carátula de la póliza debidamente suscrita</w:t>
      </w:r>
      <w:r w:rsidR="00CB774F">
        <w:rPr>
          <w:rFonts w:ascii="Arial" w:hAnsi="Arial" w:cs="Arial"/>
          <w:color w:val="00B0F0"/>
          <w:sz w:val="22"/>
          <w:szCs w:val="22"/>
        </w:rPr>
        <w:t>s</w:t>
      </w:r>
      <w:r w:rsidR="00E03DBE">
        <w:rPr>
          <w:rFonts w:ascii="Arial" w:hAnsi="Arial" w:cs="Arial"/>
          <w:color w:val="00B0F0"/>
          <w:sz w:val="22"/>
          <w:szCs w:val="22"/>
        </w:rPr>
        <w:t xml:space="preserve"> y 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factura </w:t>
      </w:r>
      <w:r w:rsidR="00E03DBE" w:rsidRPr="00E03DBE">
        <w:rPr>
          <w:rFonts w:ascii="Arial" w:hAnsi="Arial" w:cs="Arial"/>
          <w:color w:val="00B0F0"/>
          <w:sz w:val="22"/>
          <w:szCs w:val="22"/>
        </w:rPr>
        <w:t>en cualquier ramo de seguros autorizados por la Superintendencia de Compañías, Valores y Seguros</w:t>
      </w:r>
      <w:r w:rsidR="00E03DBE">
        <w:rPr>
          <w:rFonts w:ascii="Arial" w:hAnsi="Arial" w:cs="Arial"/>
          <w:sz w:val="22"/>
          <w:szCs w:val="22"/>
        </w:rPr>
        <w:t>.</w:t>
      </w:r>
    </w:p>
    <w:p w14:paraId="2FAE0266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p w14:paraId="419ECD75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 xml:space="preserve">La temporalidad para validar la experiencia general será de 15 años previos a la publicación del procedimiento y el monto </w:t>
      </w:r>
      <w:r w:rsidR="00E03DBE">
        <w:rPr>
          <w:rFonts w:ascii="Arial" w:hAnsi="Arial" w:cs="Arial"/>
          <w:sz w:val="22"/>
          <w:szCs w:val="22"/>
        </w:rPr>
        <w:t>de experiencia general mínima es de</w:t>
      </w:r>
      <w:r w:rsidRPr="004D57C3">
        <w:rPr>
          <w:rFonts w:ascii="Arial" w:hAnsi="Arial" w:cs="Arial"/>
          <w:sz w:val="22"/>
          <w:szCs w:val="22"/>
        </w:rPr>
        <w:t xml:space="preserve"> USD 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10.425,00 </w:t>
      </w:r>
      <w:r w:rsidRPr="004D57C3">
        <w:rPr>
          <w:rFonts w:ascii="Arial" w:hAnsi="Arial" w:cs="Arial"/>
          <w:sz w:val="22"/>
          <w:szCs w:val="22"/>
        </w:rPr>
        <w:t>dólares de los Estados Unidos de Norte América.</w:t>
      </w:r>
    </w:p>
    <w:p w14:paraId="043CE982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2FD6D833" w14:textId="77777777" w:rsidR="00850389" w:rsidRDefault="00850389" w:rsidP="00850389">
      <w:pPr>
        <w:jc w:val="both"/>
        <w:rPr>
          <w:rFonts w:ascii="Arial" w:hAnsi="Arial" w:cs="Arial"/>
          <w:sz w:val="22"/>
          <w:szCs w:val="22"/>
        </w:rPr>
      </w:pPr>
      <w:r w:rsidRPr="00850389">
        <w:rPr>
          <w:rFonts w:ascii="Arial" w:hAnsi="Arial" w:cs="Arial"/>
          <w:sz w:val="22"/>
          <w:szCs w:val="22"/>
        </w:rPr>
        <w:t>Estas condiciones no estarán sujetas al número d</w:t>
      </w:r>
      <w:r>
        <w:rPr>
          <w:rFonts w:ascii="Arial" w:hAnsi="Arial" w:cs="Arial"/>
          <w:sz w:val="22"/>
          <w:szCs w:val="22"/>
        </w:rPr>
        <w:t xml:space="preserve">e contrato de seguro (póliza) o </w:t>
      </w:r>
      <w:r w:rsidRPr="00850389">
        <w:rPr>
          <w:rFonts w:ascii="Arial" w:hAnsi="Arial" w:cs="Arial"/>
          <w:sz w:val="22"/>
          <w:szCs w:val="22"/>
        </w:rPr>
        <w:t xml:space="preserve">instrumentos presentados por el oferente para acreditar </w:t>
      </w:r>
      <w:r>
        <w:rPr>
          <w:rFonts w:ascii="Arial" w:hAnsi="Arial" w:cs="Arial"/>
          <w:sz w:val="22"/>
          <w:szCs w:val="22"/>
        </w:rPr>
        <w:t xml:space="preserve">la experiencia mínima general o </w:t>
      </w:r>
      <w:r w:rsidRPr="00850389">
        <w:rPr>
          <w:rFonts w:ascii="Arial" w:hAnsi="Arial" w:cs="Arial"/>
          <w:sz w:val="22"/>
          <w:szCs w:val="22"/>
        </w:rPr>
        <w:t>específica requerida, sino, al cumplimiento de estas condi</w:t>
      </w:r>
      <w:r>
        <w:rPr>
          <w:rFonts w:ascii="Arial" w:hAnsi="Arial" w:cs="Arial"/>
          <w:sz w:val="22"/>
          <w:szCs w:val="22"/>
        </w:rPr>
        <w:t xml:space="preserve">ciones en relación a los montos </w:t>
      </w:r>
      <w:r w:rsidRPr="00850389">
        <w:rPr>
          <w:rFonts w:ascii="Arial" w:hAnsi="Arial" w:cs="Arial"/>
          <w:sz w:val="22"/>
          <w:szCs w:val="22"/>
        </w:rPr>
        <w:t>mínimos requeridos para cada tipo de experiencia.</w:t>
      </w:r>
    </w:p>
    <w:p w14:paraId="6030EA4D" w14:textId="77777777" w:rsidR="00850389" w:rsidRPr="00850389" w:rsidRDefault="00850389" w:rsidP="00850389">
      <w:pPr>
        <w:jc w:val="both"/>
        <w:rPr>
          <w:rFonts w:ascii="Arial" w:hAnsi="Arial" w:cs="Arial"/>
          <w:sz w:val="22"/>
          <w:szCs w:val="22"/>
        </w:rPr>
      </w:pPr>
    </w:p>
    <w:p w14:paraId="4F997AA4" w14:textId="77777777" w:rsidR="00A443DD" w:rsidRDefault="00850389" w:rsidP="00850389">
      <w:pPr>
        <w:jc w:val="both"/>
        <w:rPr>
          <w:rFonts w:ascii="Arial" w:hAnsi="Arial" w:cs="Arial"/>
          <w:sz w:val="22"/>
          <w:szCs w:val="22"/>
        </w:rPr>
      </w:pPr>
      <w:r w:rsidRPr="00850389">
        <w:rPr>
          <w:rFonts w:ascii="Arial" w:hAnsi="Arial" w:cs="Arial"/>
          <w:sz w:val="22"/>
          <w:szCs w:val="22"/>
        </w:rPr>
        <w:t>Si con la presentación de un contrato de seguro (póliza) o instrumento que acredi</w:t>
      </w:r>
      <w:r>
        <w:rPr>
          <w:rFonts w:ascii="Arial" w:hAnsi="Arial" w:cs="Arial"/>
          <w:sz w:val="22"/>
          <w:szCs w:val="22"/>
        </w:rPr>
        <w:t xml:space="preserve">te la </w:t>
      </w:r>
      <w:r w:rsidRPr="00850389">
        <w:rPr>
          <w:rFonts w:ascii="Arial" w:hAnsi="Arial" w:cs="Arial"/>
          <w:sz w:val="22"/>
          <w:szCs w:val="22"/>
        </w:rPr>
        <w:t xml:space="preserve">experiencia mínima específica, el proveedor cumpliere </w:t>
      </w:r>
      <w:r>
        <w:rPr>
          <w:rFonts w:ascii="Arial" w:hAnsi="Arial" w:cs="Arial"/>
          <w:sz w:val="22"/>
          <w:szCs w:val="22"/>
        </w:rPr>
        <w:t xml:space="preserve">el monto mínimo solicitado para </w:t>
      </w:r>
      <w:r w:rsidRPr="00850389">
        <w:rPr>
          <w:rFonts w:ascii="Arial" w:hAnsi="Arial" w:cs="Arial"/>
          <w:sz w:val="22"/>
          <w:szCs w:val="22"/>
        </w:rPr>
        <w:t>la experiencia mínima general, este contrato de seg</w:t>
      </w:r>
      <w:r>
        <w:rPr>
          <w:rFonts w:ascii="Arial" w:hAnsi="Arial" w:cs="Arial"/>
          <w:sz w:val="22"/>
          <w:szCs w:val="22"/>
        </w:rPr>
        <w:t xml:space="preserve">uro (póliza) o instrumento será </w:t>
      </w:r>
      <w:r w:rsidRPr="00850389">
        <w:rPr>
          <w:rFonts w:ascii="Arial" w:hAnsi="Arial" w:cs="Arial"/>
          <w:sz w:val="22"/>
          <w:szCs w:val="22"/>
        </w:rPr>
        <w:t>considerado como válido para acreditar los dos tipos de experiencias.</w:t>
      </w:r>
    </w:p>
    <w:p w14:paraId="4E02CA48" w14:textId="77777777" w:rsidR="00E03DBE" w:rsidRDefault="00E03DBE" w:rsidP="00850389">
      <w:pPr>
        <w:jc w:val="both"/>
        <w:rPr>
          <w:rFonts w:ascii="Arial" w:hAnsi="Arial" w:cs="Arial"/>
          <w:sz w:val="22"/>
          <w:szCs w:val="22"/>
        </w:rPr>
      </w:pPr>
    </w:p>
    <w:p w14:paraId="5C170ACA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E03DBE">
        <w:rPr>
          <w:rFonts w:ascii="Arial" w:hAnsi="Arial" w:cs="Arial"/>
          <w:sz w:val="22"/>
          <w:szCs w:val="22"/>
        </w:rPr>
        <w:t>No se otorgará puntaje a la experienci</w:t>
      </w:r>
      <w:r>
        <w:rPr>
          <w:rFonts w:ascii="Arial" w:hAnsi="Arial" w:cs="Arial"/>
          <w:sz w:val="22"/>
          <w:szCs w:val="22"/>
        </w:rPr>
        <w:t xml:space="preserve">a general mínima requerida, por </w:t>
      </w:r>
      <w:r w:rsidRPr="00E03DBE">
        <w:rPr>
          <w:rFonts w:ascii="Arial" w:hAnsi="Arial" w:cs="Arial"/>
          <w:sz w:val="22"/>
          <w:szCs w:val="22"/>
        </w:rPr>
        <w:t>ser de cumplimiento obligatorio.</w:t>
      </w:r>
    </w:p>
    <w:p w14:paraId="7B05D107" w14:textId="77777777" w:rsidR="00E03DBE" w:rsidRP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2930FE18" w14:textId="77777777" w:rsidR="00E03DBE" w:rsidRP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E03DBE">
        <w:rPr>
          <w:rFonts w:ascii="Arial" w:hAnsi="Arial" w:cs="Arial"/>
          <w:sz w:val="22"/>
          <w:szCs w:val="22"/>
        </w:rPr>
        <w:t>Para que la experiencia genera</w:t>
      </w:r>
      <w:r>
        <w:rPr>
          <w:rFonts w:ascii="Arial" w:hAnsi="Arial" w:cs="Arial"/>
          <w:sz w:val="22"/>
          <w:szCs w:val="22"/>
        </w:rPr>
        <w:t xml:space="preserve">l presentada sea susceptible de </w:t>
      </w:r>
      <w:r w:rsidRPr="00E03DBE">
        <w:rPr>
          <w:rFonts w:ascii="Arial" w:hAnsi="Arial" w:cs="Arial"/>
          <w:sz w:val="22"/>
          <w:szCs w:val="22"/>
        </w:rPr>
        <w:t>calificación por puntaje, está deberá se</w:t>
      </w:r>
      <w:r>
        <w:rPr>
          <w:rFonts w:ascii="Arial" w:hAnsi="Arial" w:cs="Arial"/>
          <w:sz w:val="22"/>
          <w:szCs w:val="22"/>
        </w:rPr>
        <w:t xml:space="preserve">r mayor a la establecida como </w:t>
      </w:r>
      <w:r w:rsidRPr="00E03DBE">
        <w:rPr>
          <w:rFonts w:ascii="Arial" w:hAnsi="Arial" w:cs="Arial"/>
          <w:sz w:val="22"/>
          <w:szCs w:val="22"/>
        </w:rPr>
        <w:t>requisito mínimo.</w:t>
      </w:r>
    </w:p>
    <w:p w14:paraId="57909EA2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6222845E" w14:textId="77777777" w:rsidR="00E03DBE" w:rsidRP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E03DBE">
        <w:rPr>
          <w:rFonts w:ascii="Arial" w:hAnsi="Arial" w:cs="Arial"/>
          <w:sz w:val="22"/>
          <w:szCs w:val="22"/>
        </w:rPr>
        <w:t>El valor total de las primas emitidas e</w:t>
      </w:r>
      <w:r>
        <w:rPr>
          <w:rFonts w:ascii="Arial" w:hAnsi="Arial" w:cs="Arial"/>
          <w:sz w:val="22"/>
          <w:szCs w:val="22"/>
        </w:rPr>
        <w:t xml:space="preserve">n contratos de seguros (póliza) </w:t>
      </w:r>
      <w:r w:rsidRPr="00E03DBE">
        <w:rPr>
          <w:rFonts w:ascii="Arial" w:hAnsi="Arial" w:cs="Arial"/>
          <w:sz w:val="22"/>
          <w:szCs w:val="22"/>
        </w:rPr>
        <w:t>públicos o privados requeridas de</w:t>
      </w:r>
      <w:r>
        <w:rPr>
          <w:rFonts w:ascii="Arial" w:hAnsi="Arial" w:cs="Arial"/>
          <w:sz w:val="22"/>
          <w:szCs w:val="22"/>
        </w:rPr>
        <w:t xml:space="preserve">ntro de la experiencia general, </w:t>
      </w:r>
      <w:r w:rsidRPr="00E03DBE">
        <w:rPr>
          <w:rFonts w:ascii="Arial" w:hAnsi="Arial" w:cs="Arial"/>
          <w:sz w:val="22"/>
          <w:szCs w:val="22"/>
        </w:rPr>
        <w:t>adicionales al requisito mínimo que se</w:t>
      </w:r>
      <w:r>
        <w:rPr>
          <w:rFonts w:ascii="Arial" w:hAnsi="Arial" w:cs="Arial"/>
          <w:sz w:val="22"/>
          <w:szCs w:val="22"/>
        </w:rPr>
        <w:t xml:space="preserve">rán puntuada, no podrán superar </w:t>
      </w:r>
      <w:r w:rsidRPr="00E03DBE">
        <w:rPr>
          <w:rFonts w:ascii="Arial" w:hAnsi="Arial" w:cs="Arial"/>
          <w:sz w:val="22"/>
          <w:szCs w:val="22"/>
        </w:rPr>
        <w:t>el valor del presupuesto referencial de</w:t>
      </w:r>
      <w:r>
        <w:rPr>
          <w:rFonts w:ascii="Arial" w:hAnsi="Arial" w:cs="Arial"/>
          <w:sz w:val="22"/>
          <w:szCs w:val="22"/>
        </w:rPr>
        <w:t xml:space="preserve">l procedimiento de contratación </w:t>
      </w:r>
      <w:r w:rsidRPr="00E03DBE">
        <w:rPr>
          <w:rFonts w:ascii="Arial" w:hAnsi="Arial" w:cs="Arial"/>
          <w:sz w:val="22"/>
          <w:szCs w:val="22"/>
        </w:rPr>
        <w:t>multiplicado por un factor de 1,25.</w:t>
      </w:r>
    </w:p>
    <w:p w14:paraId="613CE9FB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78E9283C" w14:textId="77777777" w:rsidR="00E03DBE" w:rsidRPr="004D57C3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E03DBE">
        <w:rPr>
          <w:rFonts w:ascii="Arial" w:hAnsi="Arial" w:cs="Arial"/>
          <w:sz w:val="22"/>
          <w:szCs w:val="22"/>
        </w:rPr>
        <w:t>Se otorgará el máximo puntaje a la o</w:t>
      </w:r>
      <w:r>
        <w:rPr>
          <w:rFonts w:ascii="Arial" w:hAnsi="Arial" w:cs="Arial"/>
          <w:sz w:val="22"/>
          <w:szCs w:val="22"/>
        </w:rPr>
        <w:t xml:space="preserve"> las ofertas que presenten como </w:t>
      </w:r>
      <w:r w:rsidRPr="00E03DBE">
        <w:rPr>
          <w:rFonts w:ascii="Arial" w:hAnsi="Arial" w:cs="Arial"/>
          <w:sz w:val="22"/>
          <w:szCs w:val="22"/>
        </w:rPr>
        <w:t xml:space="preserve">experiencia general adicional el monto </w:t>
      </w:r>
      <w:r>
        <w:rPr>
          <w:rFonts w:ascii="Arial" w:hAnsi="Arial" w:cs="Arial"/>
          <w:sz w:val="22"/>
          <w:szCs w:val="22"/>
        </w:rPr>
        <w:t xml:space="preserve">más alto por primas emitidas en </w:t>
      </w:r>
      <w:r w:rsidRPr="00E03DBE">
        <w:rPr>
          <w:rFonts w:ascii="Arial" w:hAnsi="Arial" w:cs="Arial"/>
          <w:sz w:val="22"/>
          <w:szCs w:val="22"/>
        </w:rPr>
        <w:t xml:space="preserve">contratos de seguros (póliza) públicos o </w:t>
      </w:r>
      <w:r>
        <w:rPr>
          <w:rFonts w:ascii="Arial" w:hAnsi="Arial" w:cs="Arial"/>
          <w:sz w:val="22"/>
          <w:szCs w:val="22"/>
        </w:rPr>
        <w:t xml:space="preserve">privados y, a las demás ofertas </w:t>
      </w:r>
      <w:r w:rsidRPr="00E03DBE">
        <w:rPr>
          <w:rFonts w:ascii="Arial" w:hAnsi="Arial" w:cs="Arial"/>
          <w:sz w:val="22"/>
          <w:szCs w:val="22"/>
        </w:rPr>
        <w:t>se asignará un puntaje directamente proporcional.</w:t>
      </w:r>
    </w:p>
    <w:p w14:paraId="23B96EC6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p w14:paraId="1BDB67D7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4B2B68A3" w14:textId="77777777" w:rsidR="00A443DD" w:rsidRPr="004D57C3" w:rsidRDefault="00AA29A6" w:rsidP="00A443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A443DD" w:rsidRPr="004D57C3">
        <w:rPr>
          <w:rFonts w:ascii="Arial" w:hAnsi="Arial" w:cs="Arial"/>
          <w:b/>
          <w:sz w:val="22"/>
          <w:szCs w:val="22"/>
        </w:rPr>
        <w:t>. 2 EXPERIENCIA ESPECÍFICA:</w:t>
      </w:r>
    </w:p>
    <w:p w14:paraId="5B5A24A2" w14:textId="77777777" w:rsidR="00CD6AC1" w:rsidRPr="004D57C3" w:rsidRDefault="00CD6AC1" w:rsidP="00A443DD">
      <w:pPr>
        <w:jc w:val="both"/>
        <w:rPr>
          <w:rFonts w:ascii="Arial" w:hAnsi="Arial" w:cs="Arial"/>
          <w:b/>
          <w:sz w:val="22"/>
          <w:szCs w:val="22"/>
        </w:rPr>
      </w:pPr>
    </w:p>
    <w:p w14:paraId="2C3C3883" w14:textId="77777777" w:rsidR="00E03DBE" w:rsidRPr="004D57C3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>El oferente deberá presentar, en el caso de ser la experiencia con el sector público</w:t>
      </w:r>
      <w:r>
        <w:rPr>
          <w:rFonts w:ascii="Arial" w:hAnsi="Arial" w:cs="Arial"/>
          <w:sz w:val="22"/>
          <w:szCs w:val="22"/>
        </w:rPr>
        <w:t xml:space="preserve"> o privado</w:t>
      </w:r>
      <w:r w:rsidRPr="004D57C3">
        <w:rPr>
          <w:rFonts w:ascii="Arial" w:hAnsi="Arial" w:cs="Arial"/>
          <w:sz w:val="22"/>
          <w:szCs w:val="22"/>
        </w:rPr>
        <w:t xml:space="preserve">, 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copias simples legibles </w:t>
      </w:r>
      <w:r>
        <w:rPr>
          <w:rFonts w:ascii="Arial" w:hAnsi="Arial" w:cs="Arial"/>
          <w:color w:val="00B0F0"/>
          <w:sz w:val="22"/>
          <w:szCs w:val="22"/>
        </w:rPr>
        <w:t>de la carátula de la póliza debidamente suscrita</w:t>
      </w:r>
      <w:r w:rsidR="00CB774F">
        <w:rPr>
          <w:rFonts w:ascii="Arial" w:hAnsi="Arial" w:cs="Arial"/>
          <w:color w:val="00B0F0"/>
          <w:sz w:val="22"/>
          <w:szCs w:val="22"/>
        </w:rPr>
        <w:t>s</w:t>
      </w:r>
      <w:r>
        <w:rPr>
          <w:rFonts w:ascii="Arial" w:hAnsi="Arial" w:cs="Arial"/>
          <w:color w:val="00B0F0"/>
          <w:sz w:val="22"/>
          <w:szCs w:val="22"/>
        </w:rPr>
        <w:t xml:space="preserve"> y 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factura </w:t>
      </w:r>
      <w:r w:rsidR="00A67AD0" w:rsidRPr="00A67AD0">
        <w:rPr>
          <w:rFonts w:ascii="Arial" w:hAnsi="Arial" w:cs="Arial"/>
          <w:color w:val="00B0F0"/>
          <w:sz w:val="22"/>
          <w:szCs w:val="22"/>
        </w:rPr>
        <w:t>en el ramo de accidentes personales autorizados por la Superintendencia de Compañías</w:t>
      </w:r>
      <w:r>
        <w:rPr>
          <w:rFonts w:ascii="Arial" w:hAnsi="Arial" w:cs="Arial"/>
          <w:sz w:val="22"/>
          <w:szCs w:val="22"/>
        </w:rPr>
        <w:t>.</w:t>
      </w:r>
    </w:p>
    <w:p w14:paraId="1D50D561" w14:textId="77777777" w:rsidR="00E03DBE" w:rsidRPr="004D57C3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4116B145" w14:textId="77777777" w:rsidR="00E03DBE" w:rsidRPr="004D57C3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 xml:space="preserve">La temporalidad para validar </w:t>
      </w:r>
      <w:r w:rsidR="00A67AD0">
        <w:rPr>
          <w:rFonts w:ascii="Arial" w:hAnsi="Arial" w:cs="Arial"/>
          <w:sz w:val="22"/>
          <w:szCs w:val="22"/>
        </w:rPr>
        <w:t xml:space="preserve">la experiencia general será de </w:t>
      </w:r>
      <w:r w:rsidRPr="004D57C3">
        <w:rPr>
          <w:rFonts w:ascii="Arial" w:hAnsi="Arial" w:cs="Arial"/>
          <w:sz w:val="22"/>
          <w:szCs w:val="22"/>
        </w:rPr>
        <w:t xml:space="preserve">5 años previos a la publicación del procedimiento y el monto </w:t>
      </w:r>
      <w:r>
        <w:rPr>
          <w:rFonts w:ascii="Arial" w:hAnsi="Arial" w:cs="Arial"/>
          <w:sz w:val="22"/>
          <w:szCs w:val="22"/>
        </w:rPr>
        <w:t>de experiencia general mínima es de</w:t>
      </w:r>
      <w:r w:rsidRPr="004D57C3">
        <w:rPr>
          <w:rFonts w:ascii="Arial" w:hAnsi="Arial" w:cs="Arial"/>
          <w:sz w:val="22"/>
          <w:szCs w:val="22"/>
        </w:rPr>
        <w:t xml:space="preserve"> USD </w:t>
      </w:r>
      <w:r w:rsidR="00A67AD0">
        <w:rPr>
          <w:rFonts w:ascii="Arial" w:hAnsi="Arial" w:cs="Arial"/>
          <w:color w:val="00B0F0"/>
          <w:sz w:val="22"/>
          <w:szCs w:val="22"/>
        </w:rPr>
        <w:t>5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.425,00 </w:t>
      </w:r>
      <w:r w:rsidRPr="004D57C3">
        <w:rPr>
          <w:rFonts w:ascii="Arial" w:hAnsi="Arial" w:cs="Arial"/>
          <w:sz w:val="22"/>
          <w:szCs w:val="22"/>
        </w:rPr>
        <w:t>dólares de los Estados Unidos de Norte América.</w:t>
      </w:r>
    </w:p>
    <w:p w14:paraId="1E9B8567" w14:textId="77777777" w:rsidR="00E03DBE" w:rsidRPr="004D57C3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4F597205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850389">
        <w:rPr>
          <w:rFonts w:ascii="Arial" w:hAnsi="Arial" w:cs="Arial"/>
          <w:sz w:val="22"/>
          <w:szCs w:val="22"/>
        </w:rPr>
        <w:t>Estas condiciones no estarán sujetas al número d</w:t>
      </w:r>
      <w:r>
        <w:rPr>
          <w:rFonts w:ascii="Arial" w:hAnsi="Arial" w:cs="Arial"/>
          <w:sz w:val="22"/>
          <w:szCs w:val="22"/>
        </w:rPr>
        <w:t xml:space="preserve">e contrato de seguro (póliza) o </w:t>
      </w:r>
      <w:r w:rsidRPr="00850389">
        <w:rPr>
          <w:rFonts w:ascii="Arial" w:hAnsi="Arial" w:cs="Arial"/>
          <w:sz w:val="22"/>
          <w:szCs w:val="22"/>
        </w:rPr>
        <w:t xml:space="preserve">instrumentos presentados por el oferente para acreditar </w:t>
      </w:r>
      <w:r>
        <w:rPr>
          <w:rFonts w:ascii="Arial" w:hAnsi="Arial" w:cs="Arial"/>
          <w:sz w:val="22"/>
          <w:szCs w:val="22"/>
        </w:rPr>
        <w:t xml:space="preserve">la experiencia mínima general o </w:t>
      </w:r>
      <w:r w:rsidRPr="00850389">
        <w:rPr>
          <w:rFonts w:ascii="Arial" w:hAnsi="Arial" w:cs="Arial"/>
          <w:sz w:val="22"/>
          <w:szCs w:val="22"/>
        </w:rPr>
        <w:t>específica requerida, sino, al cumplimiento de estas condi</w:t>
      </w:r>
      <w:r>
        <w:rPr>
          <w:rFonts w:ascii="Arial" w:hAnsi="Arial" w:cs="Arial"/>
          <w:sz w:val="22"/>
          <w:szCs w:val="22"/>
        </w:rPr>
        <w:t xml:space="preserve">ciones en relación a los montos </w:t>
      </w:r>
      <w:r w:rsidRPr="00850389">
        <w:rPr>
          <w:rFonts w:ascii="Arial" w:hAnsi="Arial" w:cs="Arial"/>
          <w:sz w:val="22"/>
          <w:szCs w:val="22"/>
        </w:rPr>
        <w:t>mínimos requeridos para cada tipo de experiencia.</w:t>
      </w:r>
    </w:p>
    <w:p w14:paraId="35780D19" w14:textId="77777777" w:rsidR="00E03DBE" w:rsidRPr="00850389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599B4568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  <w:r w:rsidRPr="00850389">
        <w:rPr>
          <w:rFonts w:ascii="Arial" w:hAnsi="Arial" w:cs="Arial"/>
          <w:sz w:val="22"/>
          <w:szCs w:val="22"/>
        </w:rPr>
        <w:lastRenderedPageBreak/>
        <w:t>Si con la presentación de un contrato de seguro (póliza) o instrumento que acredi</w:t>
      </w:r>
      <w:r>
        <w:rPr>
          <w:rFonts w:ascii="Arial" w:hAnsi="Arial" w:cs="Arial"/>
          <w:sz w:val="22"/>
          <w:szCs w:val="22"/>
        </w:rPr>
        <w:t xml:space="preserve">te la </w:t>
      </w:r>
      <w:r w:rsidRPr="00850389">
        <w:rPr>
          <w:rFonts w:ascii="Arial" w:hAnsi="Arial" w:cs="Arial"/>
          <w:sz w:val="22"/>
          <w:szCs w:val="22"/>
        </w:rPr>
        <w:t xml:space="preserve">experiencia mínima específica, el proveedor cumpliere </w:t>
      </w:r>
      <w:r>
        <w:rPr>
          <w:rFonts w:ascii="Arial" w:hAnsi="Arial" w:cs="Arial"/>
          <w:sz w:val="22"/>
          <w:szCs w:val="22"/>
        </w:rPr>
        <w:t xml:space="preserve">el monto mínimo solicitado para </w:t>
      </w:r>
      <w:r w:rsidRPr="00850389">
        <w:rPr>
          <w:rFonts w:ascii="Arial" w:hAnsi="Arial" w:cs="Arial"/>
          <w:sz w:val="22"/>
          <w:szCs w:val="22"/>
        </w:rPr>
        <w:t>la experiencia mínima general, este contrato de seg</w:t>
      </w:r>
      <w:r>
        <w:rPr>
          <w:rFonts w:ascii="Arial" w:hAnsi="Arial" w:cs="Arial"/>
          <w:sz w:val="22"/>
          <w:szCs w:val="22"/>
        </w:rPr>
        <w:t xml:space="preserve">uro (póliza) o instrumento será </w:t>
      </w:r>
      <w:r w:rsidRPr="00850389">
        <w:rPr>
          <w:rFonts w:ascii="Arial" w:hAnsi="Arial" w:cs="Arial"/>
          <w:sz w:val="22"/>
          <w:szCs w:val="22"/>
        </w:rPr>
        <w:t>considerado como válido para acreditar los dos tipos de experiencias.</w:t>
      </w:r>
    </w:p>
    <w:p w14:paraId="34C29201" w14:textId="77777777" w:rsidR="00E03DBE" w:rsidRDefault="00E03DBE" w:rsidP="00E03DBE">
      <w:pPr>
        <w:jc w:val="both"/>
        <w:rPr>
          <w:rFonts w:ascii="Arial" w:hAnsi="Arial" w:cs="Arial"/>
          <w:sz w:val="22"/>
          <w:szCs w:val="22"/>
        </w:rPr>
      </w:pPr>
    </w:p>
    <w:p w14:paraId="2768076F" w14:textId="77777777" w:rsidR="00A67AD0" w:rsidRP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  <w:r w:rsidRPr="00A67AD0">
        <w:rPr>
          <w:rFonts w:ascii="Arial" w:hAnsi="Arial" w:cs="Arial"/>
          <w:sz w:val="22"/>
          <w:szCs w:val="22"/>
        </w:rPr>
        <w:t>No se otorgará puntaje a la experiencia e</w:t>
      </w:r>
      <w:r>
        <w:rPr>
          <w:rFonts w:ascii="Arial" w:hAnsi="Arial" w:cs="Arial"/>
          <w:sz w:val="22"/>
          <w:szCs w:val="22"/>
        </w:rPr>
        <w:t xml:space="preserve">specífica mínima requerida, por </w:t>
      </w:r>
      <w:r w:rsidRPr="00A67AD0">
        <w:rPr>
          <w:rFonts w:ascii="Arial" w:hAnsi="Arial" w:cs="Arial"/>
          <w:sz w:val="22"/>
          <w:szCs w:val="22"/>
        </w:rPr>
        <w:t>ser de cumplimiento obligatorio.</w:t>
      </w:r>
    </w:p>
    <w:p w14:paraId="5CF1E359" w14:textId="77777777" w:rsid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</w:p>
    <w:p w14:paraId="46ABA5BF" w14:textId="77777777" w:rsid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  <w:r w:rsidRPr="00A67AD0">
        <w:rPr>
          <w:rFonts w:ascii="Arial" w:hAnsi="Arial" w:cs="Arial"/>
          <w:sz w:val="22"/>
          <w:szCs w:val="22"/>
        </w:rPr>
        <w:t>Para que la experiencia específic</w:t>
      </w:r>
      <w:r>
        <w:rPr>
          <w:rFonts w:ascii="Arial" w:hAnsi="Arial" w:cs="Arial"/>
          <w:sz w:val="22"/>
          <w:szCs w:val="22"/>
        </w:rPr>
        <w:t xml:space="preserve">a presentada sea susceptible de </w:t>
      </w:r>
      <w:r w:rsidRPr="00A67AD0">
        <w:rPr>
          <w:rFonts w:ascii="Arial" w:hAnsi="Arial" w:cs="Arial"/>
          <w:sz w:val="22"/>
          <w:szCs w:val="22"/>
        </w:rPr>
        <w:t xml:space="preserve">calificación por puntaje, está deberá </w:t>
      </w:r>
      <w:r>
        <w:rPr>
          <w:rFonts w:ascii="Arial" w:hAnsi="Arial" w:cs="Arial"/>
          <w:sz w:val="22"/>
          <w:szCs w:val="22"/>
        </w:rPr>
        <w:t xml:space="preserve">ser mayor a la establecida como </w:t>
      </w:r>
      <w:r w:rsidRPr="00A67AD0">
        <w:rPr>
          <w:rFonts w:ascii="Arial" w:hAnsi="Arial" w:cs="Arial"/>
          <w:sz w:val="22"/>
          <w:szCs w:val="22"/>
        </w:rPr>
        <w:t>requisito mínimo.</w:t>
      </w:r>
    </w:p>
    <w:p w14:paraId="4202771D" w14:textId="77777777" w:rsidR="00A67AD0" w:rsidRP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</w:p>
    <w:p w14:paraId="73A06E7F" w14:textId="77777777" w:rsid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  <w:r w:rsidRPr="00A67AD0">
        <w:rPr>
          <w:rFonts w:ascii="Arial" w:hAnsi="Arial" w:cs="Arial"/>
          <w:sz w:val="22"/>
          <w:szCs w:val="22"/>
        </w:rPr>
        <w:t xml:space="preserve">El valor total de las primas emitidas </w:t>
      </w:r>
      <w:r>
        <w:rPr>
          <w:rFonts w:ascii="Arial" w:hAnsi="Arial" w:cs="Arial"/>
          <w:sz w:val="22"/>
          <w:szCs w:val="22"/>
        </w:rPr>
        <w:t xml:space="preserve">en contratos de seguro (póliza) </w:t>
      </w:r>
      <w:r w:rsidRPr="00A67AD0">
        <w:rPr>
          <w:rFonts w:ascii="Arial" w:hAnsi="Arial" w:cs="Arial"/>
          <w:sz w:val="22"/>
          <w:szCs w:val="22"/>
        </w:rPr>
        <w:t>públicos o privados requeridas dentro de la experiencia específica,</w:t>
      </w:r>
      <w:r>
        <w:rPr>
          <w:rFonts w:ascii="Arial" w:hAnsi="Arial" w:cs="Arial"/>
          <w:sz w:val="22"/>
          <w:szCs w:val="22"/>
        </w:rPr>
        <w:t xml:space="preserve"> </w:t>
      </w:r>
      <w:r w:rsidRPr="00A67AD0">
        <w:rPr>
          <w:rFonts w:ascii="Arial" w:hAnsi="Arial" w:cs="Arial"/>
          <w:sz w:val="22"/>
          <w:szCs w:val="22"/>
        </w:rPr>
        <w:t>adicionales al requisito mínimo que se</w:t>
      </w:r>
      <w:r>
        <w:rPr>
          <w:rFonts w:ascii="Arial" w:hAnsi="Arial" w:cs="Arial"/>
          <w:sz w:val="22"/>
          <w:szCs w:val="22"/>
        </w:rPr>
        <w:t xml:space="preserve">rán puntuada, no podrán superar </w:t>
      </w:r>
      <w:r w:rsidRPr="00A67AD0">
        <w:rPr>
          <w:rFonts w:ascii="Arial" w:hAnsi="Arial" w:cs="Arial"/>
          <w:sz w:val="22"/>
          <w:szCs w:val="22"/>
        </w:rPr>
        <w:t>el valor del presupuesto referencial de</w:t>
      </w:r>
      <w:r>
        <w:rPr>
          <w:rFonts w:ascii="Arial" w:hAnsi="Arial" w:cs="Arial"/>
          <w:sz w:val="22"/>
          <w:szCs w:val="22"/>
        </w:rPr>
        <w:t xml:space="preserve">l procedimiento de contratación </w:t>
      </w:r>
      <w:r w:rsidRPr="00A67AD0">
        <w:rPr>
          <w:rFonts w:ascii="Arial" w:hAnsi="Arial" w:cs="Arial"/>
          <w:sz w:val="22"/>
          <w:szCs w:val="22"/>
        </w:rPr>
        <w:t>multiplicado por un factor de 1,25.</w:t>
      </w:r>
    </w:p>
    <w:p w14:paraId="6CBBEB9B" w14:textId="77777777" w:rsidR="00A67AD0" w:rsidRPr="00A67AD0" w:rsidRDefault="00A67AD0" w:rsidP="00A67AD0">
      <w:pPr>
        <w:jc w:val="both"/>
        <w:rPr>
          <w:rFonts w:ascii="Arial" w:hAnsi="Arial" w:cs="Arial"/>
          <w:sz w:val="22"/>
          <w:szCs w:val="22"/>
        </w:rPr>
      </w:pPr>
    </w:p>
    <w:p w14:paraId="004A81B0" w14:textId="77777777" w:rsidR="00CD6AC1" w:rsidRPr="004D57C3" w:rsidRDefault="00A67AD0" w:rsidP="00A67AD0">
      <w:pPr>
        <w:jc w:val="both"/>
        <w:rPr>
          <w:rFonts w:ascii="Arial" w:hAnsi="Arial" w:cs="Arial"/>
          <w:sz w:val="22"/>
          <w:szCs w:val="22"/>
        </w:rPr>
      </w:pPr>
      <w:r w:rsidRPr="00A67AD0">
        <w:rPr>
          <w:rFonts w:ascii="Arial" w:hAnsi="Arial" w:cs="Arial"/>
          <w:sz w:val="22"/>
          <w:szCs w:val="22"/>
        </w:rPr>
        <w:t>Se otorgará el máximo puntaje a la o</w:t>
      </w:r>
      <w:r>
        <w:rPr>
          <w:rFonts w:ascii="Arial" w:hAnsi="Arial" w:cs="Arial"/>
          <w:sz w:val="22"/>
          <w:szCs w:val="22"/>
        </w:rPr>
        <w:t xml:space="preserve"> las ofertas que presenten como </w:t>
      </w:r>
      <w:r w:rsidRPr="00A67AD0">
        <w:rPr>
          <w:rFonts w:ascii="Arial" w:hAnsi="Arial" w:cs="Arial"/>
          <w:sz w:val="22"/>
          <w:szCs w:val="22"/>
        </w:rPr>
        <w:t xml:space="preserve">experiencia específica adicional el monto más </w:t>
      </w:r>
      <w:r>
        <w:rPr>
          <w:rFonts w:ascii="Arial" w:hAnsi="Arial" w:cs="Arial"/>
          <w:sz w:val="22"/>
          <w:szCs w:val="22"/>
        </w:rPr>
        <w:t xml:space="preserve">alto por primas emitidas </w:t>
      </w:r>
      <w:r w:rsidRPr="00A67AD0">
        <w:rPr>
          <w:rFonts w:ascii="Arial" w:hAnsi="Arial" w:cs="Arial"/>
          <w:sz w:val="22"/>
          <w:szCs w:val="22"/>
        </w:rPr>
        <w:t>en contratos de seguro (póliza) púb</w:t>
      </w:r>
      <w:r>
        <w:rPr>
          <w:rFonts w:ascii="Arial" w:hAnsi="Arial" w:cs="Arial"/>
          <w:sz w:val="22"/>
          <w:szCs w:val="22"/>
        </w:rPr>
        <w:t xml:space="preserve">licos o privados y, a las demás </w:t>
      </w:r>
      <w:r w:rsidRPr="00A67AD0">
        <w:rPr>
          <w:rFonts w:ascii="Arial" w:hAnsi="Arial" w:cs="Arial"/>
          <w:sz w:val="22"/>
          <w:szCs w:val="22"/>
        </w:rPr>
        <w:t>ofertas se asignará un puntaje directamente proporcional.</w:t>
      </w:r>
    </w:p>
    <w:p w14:paraId="455DF176" w14:textId="77777777" w:rsidR="00CD6AC1" w:rsidRPr="004D57C3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p w14:paraId="4005225F" w14:textId="77777777" w:rsidR="00A443DD" w:rsidRPr="004D57C3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0046AF5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B0F0"/>
        </w:rPr>
      </w:pPr>
      <w:r w:rsidRPr="004D57C3">
        <w:rPr>
          <w:rFonts w:ascii="Arial" w:hAnsi="Arial" w:cs="Arial"/>
          <w:b/>
        </w:rPr>
        <w:t>OTRO(S) PARÁMETRO(S) RESUELTO POR LA ENTIDAD CONTRATANTE:</w:t>
      </w:r>
    </w:p>
    <w:p w14:paraId="648807AD" w14:textId="77777777" w:rsidR="00A443DD" w:rsidRPr="004D57C3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19B6D69" w14:textId="77777777" w:rsidR="00A443DD" w:rsidRDefault="00A67AD0" w:rsidP="00A67AD0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A67AD0">
        <w:rPr>
          <w:rFonts w:ascii="Arial" w:hAnsi="Arial" w:cs="Arial"/>
          <w:color w:val="00B050"/>
          <w:sz w:val="22"/>
          <w:szCs w:val="22"/>
        </w:rPr>
        <w:t>En el caso de que se considere necesario añadir un parámetro adicional éste deberá ser debidamente sustentado, relacionado con el proyecto y no contravenir la LOSNCP, su Reglamento General y la normativa expedida por el SERCOP; deberá estar completamente definido, no será restrictivo ni discriminatorio y deberá establecer su indicador y el medio de comprobación. BORRAR ESTE PÁRRAFO UNA VEZ CUMPLIDO.</w:t>
      </w:r>
    </w:p>
    <w:p w14:paraId="52C12EC2" w14:textId="77777777" w:rsidR="004D57C3" w:rsidRPr="004D57C3" w:rsidRDefault="004D57C3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9"/>
        <w:gridCol w:w="2577"/>
        <w:gridCol w:w="4070"/>
        <w:gridCol w:w="1694"/>
      </w:tblGrid>
      <w:tr w:rsidR="00E41446" w:rsidRPr="00E41446" w14:paraId="6ACABB94" w14:textId="77777777" w:rsidTr="00E41446">
        <w:tc>
          <w:tcPr>
            <w:tcW w:w="397" w:type="pct"/>
          </w:tcPr>
          <w:p w14:paraId="582BAB9B" w14:textId="77777777" w:rsidR="00E41446" w:rsidRPr="00E41446" w:rsidRDefault="00E41446" w:rsidP="0008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446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</w:tc>
        <w:tc>
          <w:tcPr>
            <w:tcW w:w="1422" w:type="pct"/>
          </w:tcPr>
          <w:p w14:paraId="1E633F10" w14:textId="77777777" w:rsidR="00E41446" w:rsidRPr="00E41446" w:rsidRDefault="00E41446" w:rsidP="0008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446">
              <w:rPr>
                <w:rFonts w:ascii="Arial" w:hAnsi="Arial" w:cs="Arial"/>
                <w:b/>
                <w:sz w:val="20"/>
                <w:szCs w:val="20"/>
              </w:rPr>
              <w:t>OTROS PARÁMETROS</w:t>
            </w:r>
          </w:p>
        </w:tc>
        <w:tc>
          <w:tcPr>
            <w:tcW w:w="2246" w:type="pct"/>
          </w:tcPr>
          <w:p w14:paraId="607715E9" w14:textId="77777777" w:rsidR="00E41446" w:rsidRPr="00E41446" w:rsidRDefault="00E41446" w:rsidP="0008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446">
              <w:rPr>
                <w:rFonts w:ascii="Arial" w:hAnsi="Arial" w:cs="Arial"/>
                <w:b/>
                <w:sz w:val="20"/>
                <w:szCs w:val="20"/>
              </w:rPr>
              <w:t>DESCRIPCIÓN DEL PARÁMETRO</w:t>
            </w:r>
          </w:p>
        </w:tc>
        <w:tc>
          <w:tcPr>
            <w:tcW w:w="935" w:type="pct"/>
          </w:tcPr>
          <w:p w14:paraId="53908853" w14:textId="77777777" w:rsidR="00E41446" w:rsidRPr="00E41446" w:rsidRDefault="00E41446" w:rsidP="0008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446">
              <w:rPr>
                <w:rFonts w:ascii="Arial" w:hAnsi="Arial" w:cs="Arial"/>
                <w:b/>
                <w:sz w:val="20"/>
                <w:szCs w:val="20"/>
              </w:rPr>
              <w:t>NRO. PUNTOS</w:t>
            </w:r>
          </w:p>
        </w:tc>
      </w:tr>
      <w:tr w:rsidR="00E41446" w:rsidRPr="00E41446" w14:paraId="365DC379" w14:textId="77777777" w:rsidTr="00E41446">
        <w:tc>
          <w:tcPr>
            <w:tcW w:w="397" w:type="pct"/>
          </w:tcPr>
          <w:p w14:paraId="7E8B1E63" w14:textId="77777777" w:rsidR="00E41446" w:rsidRPr="00D42D9F" w:rsidRDefault="00E41446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>1</w:t>
            </w:r>
          </w:p>
        </w:tc>
        <w:tc>
          <w:tcPr>
            <w:tcW w:w="1422" w:type="pct"/>
          </w:tcPr>
          <w:p w14:paraId="3A19C575" w14:textId="77777777" w:rsidR="00E41446" w:rsidRPr="00D42D9F" w:rsidRDefault="00E41446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>Beneficios Adicionales</w:t>
            </w:r>
          </w:p>
        </w:tc>
        <w:tc>
          <w:tcPr>
            <w:tcW w:w="2246" w:type="pct"/>
          </w:tcPr>
          <w:p w14:paraId="09B8FF56" w14:textId="77777777" w:rsidR="00E41446" w:rsidRPr="00D42D9F" w:rsidRDefault="00E41446" w:rsidP="00081EDD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 xml:space="preserve">Se otorgará 1 punto al oferente que otorgue </w:t>
            </w:r>
            <w:r w:rsidR="003A2CC7">
              <w:rPr>
                <w:rFonts w:ascii="Arial" w:hAnsi="Arial" w:cs="Arial"/>
                <w:color w:val="00B0F0"/>
                <w:sz w:val="22"/>
                <w:szCs w:val="22"/>
              </w:rPr>
              <w:t xml:space="preserve">los tres </w:t>
            </w: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>beneficios adicionales a la Instituc</w:t>
            </w:r>
            <w:r w:rsidR="003A2CC7">
              <w:rPr>
                <w:rFonts w:ascii="Arial" w:hAnsi="Arial" w:cs="Arial"/>
                <w:color w:val="00B0F0"/>
                <w:sz w:val="22"/>
                <w:szCs w:val="22"/>
              </w:rPr>
              <w:t>ión en coberturas, condiciones y</w:t>
            </w: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 xml:space="preserve"> deducibles</w:t>
            </w:r>
            <w:r w:rsidR="003A2CC7">
              <w:rPr>
                <w:rFonts w:ascii="Arial" w:hAnsi="Arial" w:cs="Arial"/>
                <w:color w:val="00B0F0"/>
                <w:sz w:val="22"/>
                <w:szCs w:val="22"/>
              </w:rPr>
              <w:t>, que no consten en los pliegos</w:t>
            </w:r>
          </w:p>
        </w:tc>
        <w:tc>
          <w:tcPr>
            <w:tcW w:w="935" w:type="pct"/>
          </w:tcPr>
          <w:p w14:paraId="192833F3" w14:textId="77777777" w:rsidR="00E41446" w:rsidRPr="00D42D9F" w:rsidRDefault="00E41446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>1</w:t>
            </w:r>
          </w:p>
        </w:tc>
      </w:tr>
      <w:tr w:rsidR="00D42D9F" w:rsidRPr="00E41446" w14:paraId="20E9C4DF" w14:textId="77777777" w:rsidTr="00E41446">
        <w:tc>
          <w:tcPr>
            <w:tcW w:w="397" w:type="pct"/>
          </w:tcPr>
          <w:p w14:paraId="4620DCC3" w14:textId="77777777" w:rsidR="00D42D9F" w:rsidRPr="00D42D9F" w:rsidRDefault="00D42D9F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42D9F">
              <w:rPr>
                <w:rFonts w:ascii="Arial" w:hAnsi="Arial" w:cs="Arial"/>
                <w:color w:val="00B0F0"/>
                <w:sz w:val="22"/>
                <w:szCs w:val="22"/>
              </w:rPr>
              <w:t>2</w:t>
            </w:r>
          </w:p>
        </w:tc>
        <w:tc>
          <w:tcPr>
            <w:tcW w:w="1422" w:type="pct"/>
          </w:tcPr>
          <w:p w14:paraId="75C1FC94" w14:textId="77777777" w:rsidR="00D42D9F" w:rsidRPr="00D42D9F" w:rsidRDefault="003A2CC7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3A2CC7">
              <w:rPr>
                <w:rFonts w:ascii="Arial" w:hAnsi="Arial" w:cs="Arial"/>
                <w:color w:val="00B0F0"/>
                <w:sz w:val="22"/>
                <w:szCs w:val="22"/>
              </w:rPr>
              <w:t>Ubicación de Ranking</w:t>
            </w:r>
          </w:p>
        </w:tc>
        <w:tc>
          <w:tcPr>
            <w:tcW w:w="2246" w:type="pct"/>
          </w:tcPr>
          <w:p w14:paraId="2E03AE81" w14:textId="77777777" w:rsidR="000F327A" w:rsidRPr="000F327A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>•</w:t>
            </w: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ab/>
              <w:t xml:space="preserve">Se otorgará 2 puntos al oferente que se encuentre en la mejor ubicación del ranking. </w:t>
            </w:r>
          </w:p>
          <w:p w14:paraId="5E4A64B3" w14:textId="77777777" w:rsidR="000F327A" w:rsidRPr="000F327A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>•</w:t>
            </w: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ab/>
              <w:t xml:space="preserve">Se otorgará 1 punto al oferente que se encuentre en la segunda mejor ubicación del ranking. </w:t>
            </w:r>
          </w:p>
          <w:p w14:paraId="67061F0F" w14:textId="77777777" w:rsidR="00D42D9F" w:rsidRPr="00D42D9F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 xml:space="preserve">• </w:t>
            </w: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ab/>
              <w:t>Se otorgará 0,5 puntos al oferente de que se encuentre en la tercera, en adelante de la ubicación del ranking.</w:t>
            </w:r>
          </w:p>
        </w:tc>
        <w:tc>
          <w:tcPr>
            <w:tcW w:w="935" w:type="pct"/>
          </w:tcPr>
          <w:p w14:paraId="70E28233" w14:textId="77777777" w:rsidR="00D42D9F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2</w:t>
            </w:r>
          </w:p>
          <w:p w14:paraId="3CA9D31E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5A14F1A6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70875FA5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146D1DD4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1</w:t>
            </w:r>
          </w:p>
          <w:p w14:paraId="391DFC3F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4E62D97F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413ECA75" w14:textId="77777777" w:rsidR="000F327A" w:rsidRPr="00D42D9F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0.5</w:t>
            </w:r>
          </w:p>
        </w:tc>
      </w:tr>
      <w:tr w:rsidR="000F327A" w:rsidRPr="00E41446" w14:paraId="3DD105BB" w14:textId="77777777" w:rsidTr="00E41446">
        <w:tc>
          <w:tcPr>
            <w:tcW w:w="397" w:type="pct"/>
          </w:tcPr>
          <w:p w14:paraId="433254BC" w14:textId="77777777" w:rsidR="000F327A" w:rsidRPr="00D42D9F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3</w:t>
            </w:r>
          </w:p>
        </w:tc>
        <w:tc>
          <w:tcPr>
            <w:tcW w:w="1422" w:type="pct"/>
          </w:tcPr>
          <w:p w14:paraId="7CE99333" w14:textId="77777777" w:rsidR="000F327A" w:rsidRPr="003A2CC7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>Siniestros pendientes de pago</w:t>
            </w:r>
          </w:p>
        </w:tc>
        <w:tc>
          <w:tcPr>
            <w:tcW w:w="2246" w:type="pct"/>
          </w:tcPr>
          <w:p w14:paraId="27C102BD" w14:textId="77777777" w:rsidR="000F327A" w:rsidRPr="000F327A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 xml:space="preserve">Se otorgará 2 puntos al oferente que presente menor valor en reservas para obligaciones de siniestros pendientes de pago, se verificará en la cuenta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2103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(</w:t>
            </w: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>ramos generales) del balance general del oferente, presentado ante el ente de contro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l y cortado a diciembre del 2024</w:t>
            </w: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 xml:space="preserve">. A las demás ofertas se les descontará de acuerdo con el siguiente cuadro, según su ubicación: </w:t>
            </w:r>
          </w:p>
          <w:p w14:paraId="3292E633" w14:textId="77777777" w:rsidR="000F327A" w:rsidRPr="000F327A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 xml:space="preserve">De 0 a 3´600.000,00 obtendrá 2 puntos </w:t>
            </w:r>
          </w:p>
          <w:p w14:paraId="48960EB0" w14:textId="77777777" w:rsidR="000F327A" w:rsidRPr="000F327A" w:rsidRDefault="000F327A" w:rsidP="000F327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F327A">
              <w:rPr>
                <w:rFonts w:ascii="Arial" w:hAnsi="Arial" w:cs="Arial"/>
                <w:color w:val="00B0F0"/>
                <w:sz w:val="22"/>
                <w:szCs w:val="22"/>
              </w:rPr>
              <w:t xml:space="preserve">  De 3´601.000,00 a 7´500.000,00 obtendrá 1 puntos                 De 7´501.000,00 en adelante obtendrá 0,5 puntos  </w:t>
            </w:r>
          </w:p>
        </w:tc>
        <w:tc>
          <w:tcPr>
            <w:tcW w:w="935" w:type="pct"/>
          </w:tcPr>
          <w:p w14:paraId="3FBE5FD0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056E7B4B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7A7C9FB8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1A084DE2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4BA08A47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68E5A1F4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4C82F784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575E4FAE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5823A00C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69BFE464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01A9D016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2</w:t>
            </w:r>
          </w:p>
          <w:p w14:paraId="6AA083DA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2AEF3450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1</w:t>
            </w:r>
          </w:p>
          <w:p w14:paraId="35B6B881" w14:textId="77777777" w:rsidR="000F327A" w:rsidRDefault="000F327A" w:rsidP="00E4144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0.5</w:t>
            </w:r>
          </w:p>
        </w:tc>
      </w:tr>
    </w:tbl>
    <w:p w14:paraId="16D59ABF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1B9E53A0" w14:textId="77777777" w:rsidR="002E6D96" w:rsidRDefault="00A67AD0" w:rsidP="00A443DD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A67AD0">
        <w:rPr>
          <w:rFonts w:ascii="Arial" w:hAnsi="Arial" w:cs="Arial"/>
          <w:color w:val="00B050"/>
          <w:sz w:val="22"/>
          <w:szCs w:val="22"/>
        </w:rPr>
        <w:t>Se p</w:t>
      </w:r>
      <w:r w:rsidR="002E6D96" w:rsidRPr="00A67AD0">
        <w:rPr>
          <w:rFonts w:ascii="Arial" w:hAnsi="Arial" w:cs="Arial"/>
          <w:color w:val="00B050"/>
          <w:sz w:val="22"/>
          <w:szCs w:val="22"/>
        </w:rPr>
        <w:t xml:space="preserve">odrá añadir otro u otros parámetros adicionales para evaluación de las ofertas, estableciendo su indicador, el medio de comprobación y su puntaje que en ningún caso será mayor a 5 puntos. No será restrictivo ni discriminatorio y deberá estar vinculado con las necesidades del proyecto y debidamente justificado. </w:t>
      </w:r>
      <w:r w:rsidRPr="00A67AD0">
        <w:rPr>
          <w:rFonts w:ascii="Arial" w:hAnsi="Arial" w:cs="Arial"/>
          <w:color w:val="00B050"/>
          <w:sz w:val="22"/>
          <w:szCs w:val="22"/>
        </w:rPr>
        <w:t>BORRAR ESTE PÁRRAFO UNA VEZ CUMPLIDO.</w:t>
      </w:r>
    </w:p>
    <w:p w14:paraId="23FAEA7B" w14:textId="77777777" w:rsidR="00CB774F" w:rsidRDefault="00CB774F" w:rsidP="00A443DD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6C0243DA" w14:textId="77777777" w:rsidR="00CB774F" w:rsidRPr="00D42D9F" w:rsidRDefault="00CB774F" w:rsidP="00A443D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Tomar en consideración lo que se establezca en “Descripción del parámetro” para el caso de que se solicite dos o más condiciones</w:t>
      </w:r>
      <w:r w:rsidR="00364003">
        <w:rPr>
          <w:rFonts w:ascii="Arial" w:hAnsi="Arial" w:cs="Arial"/>
          <w:color w:val="00B050"/>
          <w:sz w:val="22"/>
          <w:szCs w:val="22"/>
        </w:rPr>
        <w:t xml:space="preserve"> a cumplir; lo mencionado para el caso de que el oferente cumpla parcialmente el parámetro solicitado con referencia a la asignación de puntos.</w:t>
      </w:r>
    </w:p>
    <w:p w14:paraId="2DF1F3DD" w14:textId="77777777" w:rsidR="002E6D96" w:rsidRPr="004D57C3" w:rsidRDefault="002E6D96" w:rsidP="00A443DD">
      <w:pPr>
        <w:jc w:val="both"/>
        <w:rPr>
          <w:rFonts w:ascii="Arial" w:hAnsi="Arial" w:cs="Arial"/>
          <w:sz w:val="22"/>
          <w:szCs w:val="22"/>
        </w:rPr>
      </w:pPr>
    </w:p>
    <w:p w14:paraId="36252DE4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ANÁLISIS DE LOS ÍNDICES FINANCIEROS:</w:t>
      </w:r>
    </w:p>
    <w:p w14:paraId="4B5E5E0B" w14:textId="77777777" w:rsidR="00A443DD" w:rsidRPr="004D57C3" w:rsidRDefault="00A443DD" w:rsidP="00A443D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105"/>
      </w:tblGrid>
      <w:tr w:rsidR="00A443DD" w:rsidRPr="009D5FE7" w14:paraId="541888E4" w14:textId="77777777" w:rsidTr="009D5FE7">
        <w:tc>
          <w:tcPr>
            <w:tcW w:w="1980" w:type="dxa"/>
          </w:tcPr>
          <w:p w14:paraId="7E4A9A25" w14:textId="77777777" w:rsidR="00A443DD" w:rsidRPr="009D5FE7" w:rsidRDefault="00A443DD" w:rsidP="00081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E7">
              <w:rPr>
                <w:rFonts w:ascii="Arial" w:hAnsi="Arial" w:cs="Arial"/>
                <w:b/>
                <w:sz w:val="18"/>
                <w:szCs w:val="18"/>
              </w:rPr>
              <w:t>ÍNDICE</w:t>
            </w:r>
          </w:p>
        </w:tc>
        <w:tc>
          <w:tcPr>
            <w:tcW w:w="2410" w:type="dxa"/>
          </w:tcPr>
          <w:p w14:paraId="0F086898" w14:textId="77777777" w:rsidR="00A443DD" w:rsidRPr="009D5FE7" w:rsidRDefault="00A443DD" w:rsidP="00081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E7">
              <w:rPr>
                <w:rFonts w:ascii="Arial" w:hAnsi="Arial" w:cs="Arial"/>
                <w:b/>
                <w:sz w:val="18"/>
                <w:szCs w:val="18"/>
              </w:rPr>
              <w:t>INDICADOR SOLICITADO</w:t>
            </w:r>
          </w:p>
        </w:tc>
        <w:tc>
          <w:tcPr>
            <w:tcW w:w="4105" w:type="dxa"/>
          </w:tcPr>
          <w:p w14:paraId="50A1391A" w14:textId="77777777" w:rsidR="00A443DD" w:rsidRPr="009D5FE7" w:rsidRDefault="00A443DD" w:rsidP="00081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E7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60F85" w:rsidRPr="009D5FE7" w14:paraId="05DD17DD" w14:textId="77777777" w:rsidTr="009D5FE7">
        <w:tc>
          <w:tcPr>
            <w:tcW w:w="1980" w:type="dxa"/>
          </w:tcPr>
          <w:p w14:paraId="4C4862A0" w14:textId="77777777" w:rsidR="00B60F85" w:rsidRPr="009D5FE7" w:rsidRDefault="00B60F85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E7">
              <w:rPr>
                <w:rFonts w:ascii="Arial" w:hAnsi="Arial" w:cs="Arial"/>
                <w:sz w:val="18"/>
                <w:szCs w:val="18"/>
              </w:rPr>
              <w:t>Índice de solvencia</w:t>
            </w:r>
          </w:p>
        </w:tc>
        <w:tc>
          <w:tcPr>
            <w:tcW w:w="2410" w:type="dxa"/>
          </w:tcPr>
          <w:p w14:paraId="0FFC7F20" w14:textId="77777777" w:rsidR="00B60F85" w:rsidRPr="009D5FE7" w:rsidRDefault="00B60F85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E7">
              <w:rPr>
                <w:rFonts w:ascii="Arial" w:hAnsi="Arial" w:cs="Arial"/>
                <w:sz w:val="18"/>
                <w:szCs w:val="18"/>
              </w:rPr>
              <w:t>Índice de Solvencia (mayor o igual a 1,0).</w:t>
            </w:r>
          </w:p>
          <w:p w14:paraId="64A5B0C9" w14:textId="77777777" w:rsidR="00B60F85" w:rsidRPr="009D5FE7" w:rsidRDefault="00B60F85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</w:tcPr>
          <w:p w14:paraId="437BF7C5" w14:textId="77777777" w:rsidR="00B60F85" w:rsidRPr="009D5FE7" w:rsidRDefault="00212A61" w:rsidP="00212A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A61">
              <w:rPr>
                <w:rFonts w:ascii="Arial" w:hAnsi="Arial" w:cs="Arial"/>
                <w:sz w:val="18"/>
                <w:szCs w:val="18"/>
              </w:rPr>
              <w:t xml:space="preserve">Los factores para su cálculo estarán respaldados en la declaración de impuesto </w:t>
            </w:r>
            <w:r>
              <w:rPr>
                <w:rFonts w:ascii="Arial" w:hAnsi="Arial" w:cs="Arial"/>
                <w:sz w:val="18"/>
                <w:szCs w:val="18"/>
              </w:rPr>
              <w:t xml:space="preserve">a la renta del ejercicio fiscal </w:t>
            </w:r>
            <w:r w:rsidRPr="00212A61">
              <w:rPr>
                <w:rFonts w:ascii="Arial" w:hAnsi="Arial" w:cs="Arial"/>
                <w:sz w:val="18"/>
                <w:szCs w:val="18"/>
              </w:rPr>
              <w:t>correspondiente; y/o, los balances presentados al órgano de control respectivo.</w:t>
            </w:r>
          </w:p>
        </w:tc>
      </w:tr>
      <w:tr w:rsidR="00B60F85" w:rsidRPr="009D5FE7" w14:paraId="3F1A1B0F" w14:textId="77777777" w:rsidTr="009D5FE7">
        <w:tc>
          <w:tcPr>
            <w:tcW w:w="1980" w:type="dxa"/>
          </w:tcPr>
          <w:p w14:paraId="0DE91DDB" w14:textId="77777777" w:rsidR="00B60F85" w:rsidRPr="009D5FE7" w:rsidRDefault="00B60F85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E7">
              <w:rPr>
                <w:rFonts w:ascii="Arial" w:hAnsi="Arial" w:cs="Arial"/>
                <w:sz w:val="18"/>
                <w:szCs w:val="18"/>
              </w:rPr>
              <w:t>Índice de endeudamiento</w:t>
            </w:r>
          </w:p>
        </w:tc>
        <w:tc>
          <w:tcPr>
            <w:tcW w:w="2410" w:type="dxa"/>
          </w:tcPr>
          <w:p w14:paraId="432B003F" w14:textId="77777777" w:rsidR="00B60F85" w:rsidRPr="009D5FE7" w:rsidRDefault="00B60F85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E7">
              <w:rPr>
                <w:rFonts w:ascii="Arial" w:hAnsi="Arial" w:cs="Arial"/>
                <w:sz w:val="18"/>
                <w:szCs w:val="18"/>
              </w:rPr>
              <w:t>Índice de Endeudamiento (menor a 1,5)</w:t>
            </w:r>
          </w:p>
        </w:tc>
        <w:tc>
          <w:tcPr>
            <w:tcW w:w="4105" w:type="dxa"/>
          </w:tcPr>
          <w:p w14:paraId="63B558BC" w14:textId="77777777" w:rsidR="00B60F85" w:rsidRPr="009D5FE7" w:rsidRDefault="00212A61" w:rsidP="00B60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A61">
              <w:rPr>
                <w:rFonts w:ascii="Arial" w:hAnsi="Arial" w:cs="Arial"/>
                <w:sz w:val="18"/>
                <w:szCs w:val="18"/>
              </w:rPr>
              <w:t xml:space="preserve">Los factores para su cálculo estarán respaldados en la declaración de impuesto </w:t>
            </w:r>
            <w:r>
              <w:rPr>
                <w:rFonts w:ascii="Arial" w:hAnsi="Arial" w:cs="Arial"/>
                <w:sz w:val="18"/>
                <w:szCs w:val="18"/>
              </w:rPr>
              <w:t xml:space="preserve">a la renta del ejercicio fiscal </w:t>
            </w:r>
            <w:r w:rsidRPr="00212A61">
              <w:rPr>
                <w:rFonts w:ascii="Arial" w:hAnsi="Arial" w:cs="Arial"/>
                <w:sz w:val="18"/>
                <w:szCs w:val="18"/>
              </w:rPr>
              <w:t>correspondiente; y/o, los balances presentados al órgano de control respectivo.</w:t>
            </w:r>
          </w:p>
        </w:tc>
      </w:tr>
    </w:tbl>
    <w:p w14:paraId="678CE477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23259727" w14:textId="77777777" w:rsidR="00A443DD" w:rsidRPr="004D57C3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OBLIGACIONES DE LAS PARTES:</w:t>
      </w:r>
    </w:p>
    <w:p w14:paraId="7424788C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36319AB5" w14:textId="77777777" w:rsidR="00A443DD" w:rsidRPr="004D57C3" w:rsidRDefault="00B73AFF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16</w:t>
      </w:r>
      <w:r w:rsidR="00A443DD" w:rsidRPr="004D57C3">
        <w:rPr>
          <w:rFonts w:ascii="Arial" w:hAnsi="Arial" w:cs="Arial"/>
          <w:b/>
          <w:sz w:val="22"/>
          <w:szCs w:val="22"/>
        </w:rPr>
        <w:t>. 1 OBLIGACIONES DEL CONTRATISTA:</w:t>
      </w:r>
    </w:p>
    <w:p w14:paraId="2808D15F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7554E527" w14:textId="77777777" w:rsidR="004D57C3" w:rsidRPr="004D57C3" w:rsidRDefault="004D57C3" w:rsidP="004D57C3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4D57C3">
        <w:rPr>
          <w:rFonts w:ascii="Arial" w:hAnsi="Arial" w:cs="Arial"/>
        </w:rPr>
        <w:t>Dar cumplimiento cabal a lo establecido en el presente pliego de acuerdo con los tér</w:t>
      </w:r>
      <w:r w:rsidR="003A2CC7">
        <w:rPr>
          <w:rFonts w:ascii="Arial" w:hAnsi="Arial" w:cs="Arial"/>
        </w:rPr>
        <w:t>minos y condiciones del mismo, así como,</w:t>
      </w:r>
      <w:r w:rsidRPr="004D57C3">
        <w:rPr>
          <w:rFonts w:ascii="Arial" w:hAnsi="Arial" w:cs="Arial"/>
        </w:rPr>
        <w:t xml:space="preserve"> del correspondiente contrato de seguro (póliza) y cumplir con todos los </w:t>
      </w:r>
      <w:r w:rsidR="003A2CC7">
        <w:rPr>
          <w:rFonts w:ascii="Arial" w:hAnsi="Arial" w:cs="Arial"/>
        </w:rPr>
        <w:t>términos y condiciones ahí señalados</w:t>
      </w:r>
      <w:r w:rsidRPr="004D57C3">
        <w:rPr>
          <w:rFonts w:ascii="Arial" w:hAnsi="Arial" w:cs="Arial"/>
        </w:rPr>
        <w:t xml:space="preserve">. La omisión o descuido del </w:t>
      </w:r>
      <w:r w:rsidR="003A2CC7">
        <w:rPr>
          <w:rFonts w:ascii="Arial" w:hAnsi="Arial" w:cs="Arial"/>
        </w:rPr>
        <w:t>contratista</w:t>
      </w:r>
      <w:r w:rsidRPr="004D57C3">
        <w:rPr>
          <w:rFonts w:ascii="Arial" w:hAnsi="Arial" w:cs="Arial"/>
        </w:rPr>
        <w:t xml:space="preserve"> no le relevará de sus obligaciones con relación a su oferta. </w:t>
      </w:r>
    </w:p>
    <w:p w14:paraId="54E7F97C" w14:textId="77777777" w:rsidR="004D57C3" w:rsidRPr="004D57C3" w:rsidRDefault="004D57C3" w:rsidP="004D57C3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4D57C3">
        <w:rPr>
          <w:rFonts w:ascii="Arial" w:hAnsi="Arial" w:cs="Arial"/>
        </w:rPr>
        <w:t>Debe cumplir con toda la normativa</w:t>
      </w:r>
      <w:r w:rsidR="003A2CC7">
        <w:rPr>
          <w:rFonts w:ascii="Arial" w:hAnsi="Arial" w:cs="Arial"/>
        </w:rPr>
        <w:t xml:space="preserve"> general, sectorial y especial </w:t>
      </w:r>
      <w:r w:rsidRPr="004D57C3">
        <w:rPr>
          <w:rFonts w:ascii="Arial" w:hAnsi="Arial" w:cs="Arial"/>
        </w:rPr>
        <w:t xml:space="preserve">aplicable a su actividad económica. </w:t>
      </w:r>
    </w:p>
    <w:p w14:paraId="625AEEAC" w14:textId="77777777" w:rsidR="004D57C3" w:rsidRPr="004D57C3" w:rsidRDefault="004D57C3" w:rsidP="004D57C3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 xml:space="preserve">Emitir anexos aclaratorios o modificatorios a pedido de la Institución en el tiempo requerido. </w:t>
      </w:r>
    </w:p>
    <w:p w14:paraId="55833A83" w14:textId="77777777" w:rsidR="004D57C3" w:rsidRPr="004D57C3" w:rsidRDefault="004D57C3" w:rsidP="004D57C3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 xml:space="preserve">Realizar la inspección de siniestros, una vez que se le haya notificado del mismo. </w:t>
      </w:r>
    </w:p>
    <w:p w14:paraId="2668A15D" w14:textId="77777777" w:rsidR="004D57C3" w:rsidRPr="004D57C3" w:rsidRDefault="004D57C3" w:rsidP="004D57C3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 xml:space="preserve">Dar cualquier asistencia, información o charlas, con relación a las diferentes pólizas de seguros, que requiera el personal a pedido de la Institución. </w:t>
      </w:r>
    </w:p>
    <w:p w14:paraId="1703243C" w14:textId="77777777" w:rsidR="00A443DD" w:rsidRPr="004D57C3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lastRenderedPageBreak/>
        <w:t>En caso de que se requiera, establecer las condiciones adicionales conforme la naturaleza de la contratación.</w:t>
      </w:r>
    </w:p>
    <w:p w14:paraId="6E91D528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6BAB44AF" w14:textId="77777777" w:rsidR="00A443DD" w:rsidRPr="004D57C3" w:rsidRDefault="00B73AFF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16</w:t>
      </w:r>
      <w:r w:rsidR="00A443DD" w:rsidRPr="004D57C3">
        <w:rPr>
          <w:rFonts w:ascii="Arial" w:hAnsi="Arial" w:cs="Arial"/>
          <w:b/>
          <w:sz w:val="22"/>
          <w:szCs w:val="22"/>
        </w:rPr>
        <w:t>.2 OBLIGACIONES DEL CONTRATANTE:</w:t>
      </w:r>
    </w:p>
    <w:p w14:paraId="2476CFCF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7D0EF0C4" w14:textId="77777777" w:rsidR="00A443DD" w:rsidRPr="004D57C3" w:rsidRDefault="0093336C" w:rsidP="0093336C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93336C">
        <w:rPr>
          <w:rFonts w:ascii="Arial" w:hAnsi="Arial" w:cs="Arial"/>
        </w:rPr>
        <w:t>Designar al administrador del contrato de seguro (póliza).</w:t>
      </w:r>
    </w:p>
    <w:p w14:paraId="413794BA" w14:textId="77777777" w:rsidR="004D57C3" w:rsidRDefault="0093336C" w:rsidP="004D57C3">
      <w:pPr>
        <w:pStyle w:val="Prrafodelista"/>
        <w:numPr>
          <w:ilvl w:val="0"/>
          <w:numId w:val="39"/>
        </w:numPr>
        <w:jc w:val="both"/>
        <w:rPr>
          <w:rFonts w:ascii="Arial" w:hAnsi="Arial" w:cs="Arial"/>
        </w:rPr>
      </w:pPr>
      <w:r w:rsidRPr="0093336C">
        <w:rPr>
          <w:rFonts w:ascii="Arial" w:hAnsi="Arial" w:cs="Arial"/>
        </w:rPr>
        <w:t>Dar solución a las peticiones y problemas que se presentaren en la ejecución del contrato</w:t>
      </w:r>
      <w:r>
        <w:rPr>
          <w:rFonts w:ascii="Arial" w:hAnsi="Arial" w:cs="Arial"/>
        </w:rPr>
        <w:t xml:space="preserve"> </w:t>
      </w:r>
      <w:r w:rsidR="003A2CC7">
        <w:rPr>
          <w:rFonts w:ascii="Arial" w:hAnsi="Arial" w:cs="Arial"/>
        </w:rPr>
        <w:t>de seguro (póliza), en un término de</w:t>
      </w:r>
      <w:r w:rsidRPr="0093336C">
        <w:rPr>
          <w:rFonts w:ascii="Arial" w:hAnsi="Arial" w:cs="Arial"/>
        </w:rPr>
        <w:t xml:space="preserve"> (número de días) contados a partir de la petición escrita</w:t>
      </w:r>
      <w:r>
        <w:rPr>
          <w:rFonts w:ascii="Arial" w:hAnsi="Arial" w:cs="Arial"/>
        </w:rPr>
        <w:t xml:space="preserve"> formulada por la Aseguradora.</w:t>
      </w:r>
    </w:p>
    <w:p w14:paraId="0C51716D" w14:textId="77777777" w:rsidR="0093336C" w:rsidRPr="0093336C" w:rsidRDefault="0093336C" w:rsidP="0093336C">
      <w:pPr>
        <w:pStyle w:val="Prrafodelista"/>
        <w:numPr>
          <w:ilvl w:val="0"/>
          <w:numId w:val="39"/>
        </w:numPr>
        <w:jc w:val="both"/>
        <w:rPr>
          <w:rFonts w:ascii="Arial" w:hAnsi="Arial" w:cs="Arial"/>
        </w:rPr>
      </w:pPr>
      <w:r w:rsidRPr="0093336C">
        <w:rPr>
          <w:rFonts w:ascii="Arial" w:hAnsi="Arial" w:cs="Arial"/>
        </w:rPr>
        <w:t>Suscribir las actas de entrega recepción, siempre que haya cumplido con lo previsto en</w:t>
      </w:r>
      <w:r>
        <w:rPr>
          <w:rFonts w:ascii="Arial" w:hAnsi="Arial" w:cs="Arial"/>
        </w:rPr>
        <w:t xml:space="preserve"> </w:t>
      </w:r>
      <w:r w:rsidRPr="0093336C">
        <w:rPr>
          <w:rFonts w:ascii="Arial" w:hAnsi="Arial" w:cs="Arial"/>
        </w:rPr>
        <w:t>la ley para la entrega recepción; y, en general, cumplir con las obligaciones derivadas</w:t>
      </w:r>
      <w:r>
        <w:rPr>
          <w:rFonts w:ascii="Arial" w:hAnsi="Arial" w:cs="Arial"/>
        </w:rPr>
        <w:t xml:space="preserve"> </w:t>
      </w:r>
      <w:r w:rsidRPr="0093336C">
        <w:rPr>
          <w:rFonts w:ascii="Arial" w:hAnsi="Arial" w:cs="Arial"/>
        </w:rPr>
        <w:t>del cont</w:t>
      </w:r>
      <w:r>
        <w:rPr>
          <w:rFonts w:ascii="Arial" w:hAnsi="Arial" w:cs="Arial"/>
        </w:rPr>
        <w:t>rato de seguro (póliza).</w:t>
      </w:r>
    </w:p>
    <w:p w14:paraId="2B790B83" w14:textId="77777777" w:rsidR="0093336C" w:rsidRDefault="004D57C3" w:rsidP="0042029F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B0F0"/>
        </w:rPr>
      </w:pPr>
      <w:r w:rsidRPr="0093336C">
        <w:rPr>
          <w:rFonts w:ascii="Arial" w:hAnsi="Arial" w:cs="Arial"/>
          <w:color w:val="00B0F0"/>
        </w:rPr>
        <w:t>Pagar por la emisión de pólizas, de acuerdo con la facturación presentada por la Asegur</w:t>
      </w:r>
      <w:r w:rsidR="0093336C">
        <w:rPr>
          <w:rFonts w:ascii="Arial" w:hAnsi="Arial" w:cs="Arial"/>
          <w:color w:val="00B0F0"/>
        </w:rPr>
        <w:t>adora.</w:t>
      </w:r>
    </w:p>
    <w:p w14:paraId="5DBB5ACF" w14:textId="77777777" w:rsidR="004D57C3" w:rsidRPr="003A2CC7" w:rsidRDefault="004D57C3" w:rsidP="003A2CC7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B0F0"/>
        </w:rPr>
      </w:pPr>
      <w:r w:rsidRPr="0093336C">
        <w:rPr>
          <w:rFonts w:ascii="Arial" w:hAnsi="Arial" w:cs="Arial"/>
          <w:color w:val="00B0F0"/>
        </w:rPr>
        <w:t>Solicitar oportunamente la emisión de anexos aclaratorios o modificatorios, por</w:t>
      </w:r>
      <w:r w:rsidR="003A2CC7">
        <w:rPr>
          <w:rFonts w:ascii="Arial" w:hAnsi="Arial" w:cs="Arial"/>
          <w:color w:val="00B0F0"/>
        </w:rPr>
        <w:t xml:space="preserve"> </w:t>
      </w:r>
      <w:r w:rsidRPr="003A2CC7">
        <w:rPr>
          <w:rFonts w:ascii="Arial" w:hAnsi="Arial" w:cs="Arial"/>
          <w:color w:val="00B0F0"/>
        </w:rPr>
        <w:t>inclusión o exclusión de bienes y pagar las facturas correspondientes.</w:t>
      </w:r>
    </w:p>
    <w:p w14:paraId="77979635" w14:textId="77777777" w:rsidR="004D57C3" w:rsidRPr="004D57C3" w:rsidRDefault="004D57C3" w:rsidP="004D57C3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 xml:space="preserve">Notificar a la aseguradora </w:t>
      </w:r>
      <w:r w:rsidR="003A2CC7">
        <w:rPr>
          <w:rFonts w:ascii="Arial" w:hAnsi="Arial" w:cs="Arial"/>
          <w:color w:val="00B0F0"/>
        </w:rPr>
        <w:t xml:space="preserve">contratada, de manera oportuna, </w:t>
      </w:r>
      <w:r w:rsidRPr="004D57C3">
        <w:rPr>
          <w:rFonts w:ascii="Arial" w:hAnsi="Arial" w:cs="Arial"/>
          <w:color w:val="00B0F0"/>
        </w:rPr>
        <w:t xml:space="preserve">cualquier cambio que realice la Institución y que pueda aumentar o modificar el riesgo asegurado. </w:t>
      </w:r>
    </w:p>
    <w:p w14:paraId="0D6A5562" w14:textId="77777777" w:rsidR="004D57C3" w:rsidRDefault="003A2CC7" w:rsidP="004D57C3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B0F0"/>
        </w:rPr>
      </w:pPr>
      <w:r w:rsidRPr="004D57C3">
        <w:rPr>
          <w:rFonts w:ascii="Arial" w:hAnsi="Arial" w:cs="Arial"/>
          <w:color w:val="00B0F0"/>
        </w:rPr>
        <w:t xml:space="preserve">Notificar a la aseguradora </w:t>
      </w:r>
      <w:r>
        <w:rPr>
          <w:rFonts w:ascii="Arial" w:hAnsi="Arial" w:cs="Arial"/>
          <w:color w:val="00B0F0"/>
        </w:rPr>
        <w:t>contratada</w:t>
      </w:r>
      <w:r w:rsidR="004D57C3" w:rsidRPr="004D57C3">
        <w:rPr>
          <w:rFonts w:ascii="Arial" w:hAnsi="Arial" w:cs="Arial"/>
          <w:color w:val="00B0F0"/>
        </w:rPr>
        <w:t xml:space="preserve"> o al Asesor de Seguros, de los siniestros ocurridos, dentro de los 30 días </w:t>
      </w:r>
      <w:r>
        <w:rPr>
          <w:rFonts w:ascii="Arial" w:hAnsi="Arial" w:cs="Arial"/>
          <w:color w:val="00B0F0"/>
        </w:rPr>
        <w:t>subsecuentes al mismo</w:t>
      </w:r>
      <w:r w:rsidR="004D57C3" w:rsidRPr="004D57C3">
        <w:rPr>
          <w:rFonts w:ascii="Arial" w:hAnsi="Arial" w:cs="Arial"/>
          <w:color w:val="00B0F0"/>
        </w:rPr>
        <w:t xml:space="preserve">. </w:t>
      </w:r>
      <w:r>
        <w:rPr>
          <w:rFonts w:ascii="Arial" w:hAnsi="Arial" w:cs="Arial"/>
          <w:color w:val="00B0F0"/>
        </w:rPr>
        <w:t xml:space="preserve"> </w:t>
      </w:r>
    </w:p>
    <w:p w14:paraId="435A5A42" w14:textId="77777777" w:rsidR="001F2BEA" w:rsidRPr="001F2BEA" w:rsidRDefault="001F2BEA" w:rsidP="001F2BEA">
      <w:pPr>
        <w:pStyle w:val="Prrafodelista"/>
        <w:numPr>
          <w:ilvl w:val="0"/>
          <w:numId w:val="44"/>
        </w:numPr>
        <w:rPr>
          <w:rFonts w:ascii="Arial" w:hAnsi="Arial" w:cs="Arial"/>
          <w:color w:val="00B0F0"/>
        </w:rPr>
      </w:pPr>
      <w:r w:rsidRPr="001F2BEA">
        <w:rPr>
          <w:rFonts w:ascii="Arial" w:hAnsi="Arial" w:cs="Arial"/>
          <w:color w:val="00B0F0"/>
        </w:rPr>
        <w:t>Las demás, determinadas en el pliego y en el contrato de seguro (póliza)</w:t>
      </w:r>
      <w:r>
        <w:rPr>
          <w:rFonts w:ascii="Arial" w:hAnsi="Arial" w:cs="Arial"/>
          <w:color w:val="00B0F0"/>
        </w:rPr>
        <w:t>.</w:t>
      </w:r>
    </w:p>
    <w:p w14:paraId="7C455EA7" w14:textId="77777777" w:rsidR="00B73AFF" w:rsidRPr="004D57C3" w:rsidRDefault="00B73AFF" w:rsidP="00B73AFF">
      <w:pPr>
        <w:jc w:val="both"/>
        <w:rPr>
          <w:rFonts w:ascii="Arial" w:hAnsi="Arial" w:cs="Arial"/>
          <w:sz w:val="22"/>
          <w:szCs w:val="22"/>
        </w:rPr>
      </w:pPr>
    </w:p>
    <w:p w14:paraId="0C4D3437" w14:textId="77777777" w:rsidR="00B73AFF" w:rsidRPr="00B449E4" w:rsidRDefault="00B73AFF" w:rsidP="00B73AF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449E4">
        <w:rPr>
          <w:rFonts w:ascii="Arial" w:hAnsi="Arial" w:cs="Arial"/>
          <w:b/>
        </w:rPr>
        <w:t>17</w:t>
      </w:r>
      <w:r w:rsidRPr="00B449E4">
        <w:rPr>
          <w:rFonts w:ascii="Arial" w:hAnsi="Arial" w:cs="Arial"/>
        </w:rPr>
        <w:t xml:space="preserve">. </w:t>
      </w:r>
      <w:r w:rsidR="002E6D96" w:rsidRPr="00B449E4">
        <w:rPr>
          <w:rFonts w:ascii="Arial" w:hAnsi="Arial" w:cs="Arial"/>
          <w:b/>
        </w:rPr>
        <w:t xml:space="preserve">PATRIMONIO: </w:t>
      </w:r>
    </w:p>
    <w:p w14:paraId="08D8EC17" w14:textId="77777777" w:rsidR="00B73AFF" w:rsidRPr="00DA2B12" w:rsidRDefault="00B73AFF" w:rsidP="00B73AF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E5D420" w14:textId="77777777" w:rsidR="002E6D96" w:rsidRDefault="000D13E0" w:rsidP="00DA2B12">
      <w:pPr>
        <w:jc w:val="both"/>
        <w:rPr>
          <w:rFonts w:ascii="Arial" w:hAnsi="Arial" w:cs="Arial"/>
          <w:sz w:val="22"/>
          <w:szCs w:val="22"/>
        </w:rPr>
      </w:pPr>
      <w:r w:rsidRPr="000D13E0">
        <w:rPr>
          <w:rFonts w:ascii="Arial" w:hAnsi="Arial" w:cs="Arial"/>
          <w:sz w:val="22"/>
          <w:szCs w:val="22"/>
        </w:rPr>
        <w:t xml:space="preserve">En el caso de personas jurídicas, </w:t>
      </w:r>
      <w:r w:rsidR="008A5E96">
        <w:rPr>
          <w:rFonts w:ascii="Arial" w:hAnsi="Arial" w:cs="Arial"/>
          <w:sz w:val="22"/>
          <w:szCs w:val="22"/>
        </w:rPr>
        <w:t>se</w:t>
      </w:r>
      <w:r w:rsidRPr="000D13E0">
        <w:rPr>
          <w:rFonts w:ascii="Arial" w:hAnsi="Arial" w:cs="Arial"/>
          <w:sz w:val="22"/>
          <w:szCs w:val="22"/>
        </w:rPr>
        <w:t xml:space="preserve"> verificará que el patrimonio sea igual o superior a la relación con el presupuesto referencial del procedimiento de contratación, de conformidad con el contenido de la siguiente tabla:</w:t>
      </w:r>
    </w:p>
    <w:p w14:paraId="000771B9" w14:textId="77777777" w:rsidR="008A5E96" w:rsidRDefault="008A5E96" w:rsidP="00DA2B1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A5E96" w:rsidRPr="008A5E96" w14:paraId="7E0479B3" w14:textId="77777777" w:rsidTr="003A5626">
        <w:tc>
          <w:tcPr>
            <w:tcW w:w="4530" w:type="dxa"/>
            <w:gridSpan w:val="2"/>
          </w:tcPr>
          <w:p w14:paraId="38A26C1F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PRESUPUESTO REFERENCIAL</w:t>
            </w:r>
          </w:p>
        </w:tc>
        <w:tc>
          <w:tcPr>
            <w:tcW w:w="4530" w:type="dxa"/>
            <w:gridSpan w:val="2"/>
          </w:tcPr>
          <w:p w14:paraId="4A1AB7A8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MONTO QUE DEBE CUMPLIR DE PATRIMONIO USD.</w:t>
            </w:r>
          </w:p>
        </w:tc>
      </w:tr>
      <w:tr w:rsidR="008A5E96" w:rsidRPr="008A5E96" w14:paraId="6B3BC7DA" w14:textId="77777777" w:rsidTr="008A5E96">
        <w:tc>
          <w:tcPr>
            <w:tcW w:w="2265" w:type="dxa"/>
          </w:tcPr>
          <w:p w14:paraId="0CBDC7C9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Fracción Básica</w:t>
            </w:r>
          </w:p>
        </w:tc>
        <w:tc>
          <w:tcPr>
            <w:tcW w:w="2265" w:type="dxa"/>
          </w:tcPr>
          <w:p w14:paraId="67A611F4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Exceso hasta</w:t>
            </w:r>
          </w:p>
        </w:tc>
        <w:tc>
          <w:tcPr>
            <w:tcW w:w="2265" w:type="dxa"/>
          </w:tcPr>
          <w:p w14:paraId="690BB6B9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Patrimonio exigido sobre la fracción básica</w:t>
            </w:r>
          </w:p>
        </w:tc>
        <w:tc>
          <w:tcPr>
            <w:tcW w:w="2265" w:type="dxa"/>
          </w:tcPr>
          <w:p w14:paraId="016DC56E" w14:textId="77777777" w:rsidR="008A5E96" w:rsidRPr="009D5FE7" w:rsidRDefault="008A5E96" w:rsidP="009D5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FE7">
              <w:rPr>
                <w:rFonts w:ascii="Arial" w:hAnsi="Arial" w:cs="Arial"/>
                <w:b/>
                <w:sz w:val="16"/>
                <w:szCs w:val="16"/>
              </w:rPr>
              <w:t>Patrimonio exigido sobre el excedente de la fracción básica</w:t>
            </w:r>
          </w:p>
        </w:tc>
      </w:tr>
      <w:tr w:rsidR="008A5E96" w:rsidRPr="008A5E96" w14:paraId="2E2635C0" w14:textId="77777777" w:rsidTr="008A5E96">
        <w:tc>
          <w:tcPr>
            <w:tcW w:w="2265" w:type="dxa"/>
          </w:tcPr>
          <w:p w14:paraId="6F6EED8E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5" w:type="dxa"/>
          </w:tcPr>
          <w:p w14:paraId="0D9C539B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500.000 incluido</w:t>
            </w:r>
          </w:p>
        </w:tc>
        <w:tc>
          <w:tcPr>
            <w:tcW w:w="2265" w:type="dxa"/>
          </w:tcPr>
          <w:p w14:paraId="41400DE4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5" w:type="dxa"/>
          </w:tcPr>
          <w:p w14:paraId="5161C097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5% sobre el exceso de 250.000 incluido</w:t>
            </w:r>
          </w:p>
        </w:tc>
      </w:tr>
      <w:tr w:rsidR="008A5E96" w:rsidRPr="008A5E96" w14:paraId="1679C40C" w14:textId="77777777" w:rsidTr="008A5E96">
        <w:tc>
          <w:tcPr>
            <w:tcW w:w="2265" w:type="dxa"/>
          </w:tcPr>
          <w:p w14:paraId="0AE8D8E0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500.000,01</w:t>
            </w:r>
          </w:p>
        </w:tc>
        <w:tc>
          <w:tcPr>
            <w:tcW w:w="2265" w:type="dxa"/>
          </w:tcPr>
          <w:p w14:paraId="21D4BFDA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1´000.000 incluido</w:t>
            </w:r>
          </w:p>
        </w:tc>
        <w:tc>
          <w:tcPr>
            <w:tcW w:w="2265" w:type="dxa"/>
          </w:tcPr>
          <w:p w14:paraId="79D0C3B1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265" w:type="dxa"/>
          </w:tcPr>
          <w:p w14:paraId="58F051AA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10 % sobre el exceso de la fracción básica</w:t>
            </w:r>
          </w:p>
        </w:tc>
      </w:tr>
      <w:tr w:rsidR="008A5E96" w:rsidRPr="008A5E96" w14:paraId="58E1A458" w14:textId="77777777" w:rsidTr="008A5E96">
        <w:tc>
          <w:tcPr>
            <w:tcW w:w="2265" w:type="dxa"/>
          </w:tcPr>
          <w:p w14:paraId="5862B94E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1´000.000,01</w:t>
            </w:r>
          </w:p>
        </w:tc>
        <w:tc>
          <w:tcPr>
            <w:tcW w:w="2265" w:type="dxa"/>
          </w:tcPr>
          <w:p w14:paraId="5E6BC0F9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5´000.000 incluido</w:t>
            </w:r>
          </w:p>
        </w:tc>
        <w:tc>
          <w:tcPr>
            <w:tcW w:w="2265" w:type="dxa"/>
          </w:tcPr>
          <w:p w14:paraId="66D6EFEA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75.000</w:t>
            </w:r>
          </w:p>
        </w:tc>
        <w:tc>
          <w:tcPr>
            <w:tcW w:w="2265" w:type="dxa"/>
          </w:tcPr>
          <w:p w14:paraId="5EBECD95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12,5% sobre el exceso de la fracción básica</w:t>
            </w:r>
          </w:p>
        </w:tc>
      </w:tr>
      <w:tr w:rsidR="008A5E96" w:rsidRPr="008A5E96" w14:paraId="6B7682DF" w14:textId="77777777" w:rsidTr="008A5E96">
        <w:tc>
          <w:tcPr>
            <w:tcW w:w="2265" w:type="dxa"/>
          </w:tcPr>
          <w:p w14:paraId="636AAE4A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5´000.000,01</w:t>
            </w:r>
          </w:p>
        </w:tc>
        <w:tc>
          <w:tcPr>
            <w:tcW w:w="2265" w:type="dxa"/>
          </w:tcPr>
          <w:p w14:paraId="0EAD436C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10´000.000 incluido</w:t>
            </w:r>
          </w:p>
        </w:tc>
        <w:tc>
          <w:tcPr>
            <w:tcW w:w="2265" w:type="dxa"/>
          </w:tcPr>
          <w:p w14:paraId="28004759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625.000</w:t>
            </w:r>
          </w:p>
        </w:tc>
        <w:tc>
          <w:tcPr>
            <w:tcW w:w="2265" w:type="dxa"/>
          </w:tcPr>
          <w:p w14:paraId="2DBDF541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15% sobre el exceso de la fracción básica</w:t>
            </w:r>
          </w:p>
        </w:tc>
      </w:tr>
      <w:tr w:rsidR="008A5E96" w:rsidRPr="008A5E96" w14:paraId="1881A3D3" w14:textId="77777777" w:rsidTr="008A5E96">
        <w:tc>
          <w:tcPr>
            <w:tcW w:w="2265" w:type="dxa"/>
          </w:tcPr>
          <w:p w14:paraId="3C87910F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10´ 000.000,01</w:t>
            </w:r>
          </w:p>
        </w:tc>
        <w:tc>
          <w:tcPr>
            <w:tcW w:w="2265" w:type="dxa"/>
          </w:tcPr>
          <w:p w14:paraId="37D4C397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En adelante</w:t>
            </w:r>
          </w:p>
        </w:tc>
        <w:tc>
          <w:tcPr>
            <w:tcW w:w="2265" w:type="dxa"/>
          </w:tcPr>
          <w:p w14:paraId="78605B35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1.500.000</w:t>
            </w:r>
          </w:p>
        </w:tc>
        <w:tc>
          <w:tcPr>
            <w:tcW w:w="2265" w:type="dxa"/>
          </w:tcPr>
          <w:p w14:paraId="2397FAEA" w14:textId="77777777" w:rsidR="008A5E96" w:rsidRPr="008A5E96" w:rsidRDefault="008A5E96" w:rsidP="009D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E96">
              <w:rPr>
                <w:rFonts w:ascii="Arial" w:hAnsi="Arial" w:cs="Arial"/>
                <w:sz w:val="16"/>
                <w:szCs w:val="16"/>
              </w:rPr>
              <w:t>17,5% sobre el exceso de la fracción básica</w:t>
            </w:r>
          </w:p>
        </w:tc>
      </w:tr>
    </w:tbl>
    <w:p w14:paraId="40768DB3" w14:textId="77777777" w:rsidR="008A5E96" w:rsidRDefault="008A5E96" w:rsidP="00DA2B12">
      <w:pPr>
        <w:jc w:val="both"/>
        <w:rPr>
          <w:rFonts w:ascii="Arial" w:hAnsi="Arial" w:cs="Arial"/>
          <w:sz w:val="22"/>
          <w:szCs w:val="22"/>
        </w:rPr>
      </w:pPr>
    </w:p>
    <w:p w14:paraId="1F26E0C6" w14:textId="77777777" w:rsidR="009D5FE7" w:rsidRPr="004D57C3" w:rsidRDefault="009D5FE7" w:rsidP="00DA2B12">
      <w:pPr>
        <w:jc w:val="both"/>
        <w:rPr>
          <w:rFonts w:ascii="Arial" w:hAnsi="Arial" w:cs="Arial"/>
          <w:sz w:val="22"/>
          <w:szCs w:val="22"/>
        </w:rPr>
      </w:pPr>
      <w:r w:rsidRPr="009D5FE7">
        <w:rPr>
          <w:rFonts w:ascii="Arial" w:hAnsi="Arial" w:cs="Arial"/>
          <w:sz w:val="22"/>
          <w:szCs w:val="22"/>
        </w:rPr>
        <w:t xml:space="preserve">El patrimonio se </w:t>
      </w:r>
      <w:r>
        <w:rPr>
          <w:rFonts w:ascii="Arial" w:hAnsi="Arial" w:cs="Arial"/>
          <w:sz w:val="22"/>
          <w:szCs w:val="22"/>
        </w:rPr>
        <w:t>verificará</w:t>
      </w:r>
      <w:r w:rsidRPr="009D5FE7">
        <w:rPr>
          <w:rFonts w:ascii="Arial" w:hAnsi="Arial" w:cs="Arial"/>
          <w:sz w:val="22"/>
          <w:szCs w:val="22"/>
        </w:rPr>
        <w:t xml:space="preserve"> a través de la declaración del impuesto a la renta del último ejercicio fiscal realizado ante el Servicio de Rentas Internas, o por el documento equivalente en el país de origen para aquellas ofertas extranjeras.</w:t>
      </w:r>
    </w:p>
    <w:p w14:paraId="3189D01E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</w:p>
    <w:p w14:paraId="0F01CD9E" w14:textId="77777777" w:rsidR="002E6D96" w:rsidRDefault="002E6D96" w:rsidP="00DA2B1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  <w:r w:rsidRPr="004D57C3">
        <w:rPr>
          <w:rFonts w:ascii="Arial" w:hAnsi="Arial" w:cs="Arial"/>
          <w:b/>
        </w:rPr>
        <w:t xml:space="preserve">18. CALIFICACIÓN DE RIESGOS DE LA COMPAÑÍA ASEGURADORA: </w:t>
      </w:r>
    </w:p>
    <w:p w14:paraId="5339DB26" w14:textId="77777777" w:rsidR="00DA2B12" w:rsidRPr="004D57C3" w:rsidRDefault="00DA2B12" w:rsidP="00DA2B1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D9915D9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lastRenderedPageBreak/>
        <w:t>La calificación de Riesgos de la Aseguradora se efectuará de acuerdo a la escala de calificación de riesgo otorgada por una compañía nacional, extranjera o asociadas entre ellas, con experiencia y de reconocido prestigio internacional, que se encuentre calificada por la Superintendencia de Compañías, Valores y Seguros y que conste inscrita en el "Registro de calificadoras de riesgo", de la Superintendencia de Compañías, Valores y Seguros.</w:t>
      </w:r>
    </w:p>
    <w:p w14:paraId="24E805E4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</w:p>
    <w:p w14:paraId="7436D092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>La Compañía de Seguros debe tener mínimo calificación de riesgo “</w:t>
      </w:r>
      <w:r w:rsidRPr="00BE5321">
        <w:rPr>
          <w:rFonts w:ascii="Arial" w:eastAsiaTheme="minorHAnsi" w:hAnsi="Arial" w:cs="Arial"/>
          <w:color w:val="00B0F0"/>
          <w:sz w:val="22"/>
          <w:szCs w:val="22"/>
          <w:lang w:val="es-EC" w:eastAsia="en-US"/>
        </w:rPr>
        <w:t>A”,</w:t>
      </w:r>
      <w:r w:rsidRPr="004D57C3">
        <w:rPr>
          <w:rFonts w:ascii="Arial" w:hAnsi="Arial" w:cs="Arial"/>
          <w:sz w:val="22"/>
          <w:szCs w:val="22"/>
        </w:rPr>
        <w:t xml:space="preserve"> de acuerdo con la escala de calificación.</w:t>
      </w:r>
    </w:p>
    <w:p w14:paraId="75EC5B96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</w:p>
    <w:p w14:paraId="07826EB9" w14:textId="77777777" w:rsidR="002E6D96" w:rsidRPr="004D57C3" w:rsidRDefault="002E6D96" w:rsidP="002E6D9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t xml:space="preserve">Se otorgará el máximo puntaje de 15 puntos a las ofertas que presenten la calificación de riesgo AAA, a las ofertas que presenten la calificación AA+ se les otorgará un puntaje de 10 puntos, a las ofertas que presenten la calificación AA- se les otorgará 8 puntos, a las ofertas que presenten la calificación </w:t>
      </w:r>
      <w:proofErr w:type="spellStart"/>
      <w:r w:rsidRPr="004D57C3">
        <w:rPr>
          <w:rFonts w:ascii="Arial" w:hAnsi="Arial" w:cs="Arial"/>
          <w:color w:val="00B0F0"/>
          <w:sz w:val="22"/>
          <w:szCs w:val="22"/>
        </w:rPr>
        <w:t>A+o</w:t>
      </w:r>
      <w:proofErr w:type="spellEnd"/>
      <w:r w:rsidRPr="004D57C3">
        <w:rPr>
          <w:rFonts w:ascii="Arial" w:hAnsi="Arial" w:cs="Arial"/>
          <w:color w:val="00B0F0"/>
          <w:sz w:val="22"/>
          <w:szCs w:val="22"/>
        </w:rPr>
        <w:t>- se les otorgará 5 puntos.</w:t>
      </w:r>
    </w:p>
    <w:p w14:paraId="31DE71F8" w14:textId="77777777" w:rsidR="002E6D96" w:rsidRPr="004D57C3" w:rsidRDefault="002E6D96" w:rsidP="002E6D9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DC70ADD" w14:textId="77777777" w:rsidR="002E6D96" w:rsidRDefault="002E6D96" w:rsidP="00B73AFF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19. OFERTA ECONÓMICA:</w:t>
      </w:r>
      <w:r w:rsidRPr="004D57C3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14:paraId="17F89CF9" w14:textId="77777777" w:rsidR="00DA2B12" w:rsidRPr="004D57C3" w:rsidRDefault="00DA2B12" w:rsidP="00B73AFF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37AACA62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 xml:space="preserve">La oferta económica se evaluará aplicando un criterio inversamente proporcional; a menor precio, mayor puntaje. En caso de que existan errores aritméticos en la oferta económica, </w:t>
      </w:r>
      <w:r w:rsidR="003A2CC7">
        <w:rPr>
          <w:rFonts w:ascii="Arial" w:hAnsi="Arial" w:cs="Arial"/>
          <w:sz w:val="22"/>
          <w:szCs w:val="22"/>
        </w:rPr>
        <w:t xml:space="preserve">el técnico del proceso o </w:t>
      </w:r>
      <w:r w:rsidRPr="004D57C3">
        <w:rPr>
          <w:rFonts w:ascii="Arial" w:hAnsi="Arial" w:cs="Arial"/>
          <w:sz w:val="22"/>
          <w:szCs w:val="22"/>
        </w:rPr>
        <w:t>la Comisión Técnica</w:t>
      </w:r>
      <w:r w:rsidR="003A2CC7">
        <w:rPr>
          <w:rFonts w:ascii="Arial" w:hAnsi="Arial" w:cs="Arial"/>
          <w:sz w:val="22"/>
          <w:szCs w:val="22"/>
        </w:rPr>
        <w:t>, según el caso,</w:t>
      </w:r>
      <w:r w:rsidRPr="004D57C3">
        <w:rPr>
          <w:rFonts w:ascii="Arial" w:hAnsi="Arial" w:cs="Arial"/>
          <w:sz w:val="22"/>
          <w:szCs w:val="22"/>
        </w:rPr>
        <w:t xml:space="preserve"> procederá a su corrección conforme lo previsto en la normativa expedida por el SERCOP para el efecto. </w:t>
      </w:r>
    </w:p>
    <w:p w14:paraId="2E22E7D8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</w:p>
    <w:p w14:paraId="0C2525EF" w14:textId="77777777" w:rsidR="002E6D96" w:rsidRDefault="002E6D96" w:rsidP="002E6D96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 xml:space="preserve">La evaluación de la oferta económica se efectuará aplicando el “precio corregido” en caso de que hubiera sido necesario establecerlo. </w:t>
      </w:r>
    </w:p>
    <w:p w14:paraId="082CFAD9" w14:textId="77777777" w:rsidR="00DA2B12" w:rsidRPr="004D57C3" w:rsidRDefault="00DA2B12" w:rsidP="002E6D96">
      <w:pPr>
        <w:jc w:val="both"/>
        <w:rPr>
          <w:rFonts w:ascii="Arial" w:hAnsi="Arial" w:cs="Arial"/>
          <w:sz w:val="22"/>
          <w:szCs w:val="22"/>
        </w:rPr>
      </w:pPr>
    </w:p>
    <w:p w14:paraId="40A01313" w14:textId="77777777" w:rsidR="00B73AFF" w:rsidRPr="004D57C3" w:rsidRDefault="002E6D96" w:rsidP="002E6D9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4D57C3">
        <w:rPr>
          <w:rFonts w:ascii="Arial" w:hAnsi="Arial" w:cs="Arial"/>
          <w:color w:val="00B0F0"/>
          <w:sz w:val="22"/>
          <w:szCs w:val="22"/>
        </w:rPr>
        <w:t>Se otorgará el máximo puntaje de 50 puntos a la oferta más baja, a la o las ofertas que ocupe el segundo</w:t>
      </w:r>
      <w:r w:rsidR="003A2CC7">
        <w:rPr>
          <w:rFonts w:ascii="Arial" w:hAnsi="Arial" w:cs="Arial"/>
          <w:color w:val="00B0F0"/>
          <w:sz w:val="22"/>
          <w:szCs w:val="22"/>
        </w:rPr>
        <w:t xml:space="preserve"> lugar</w:t>
      </w:r>
      <w:r w:rsidRPr="004D57C3">
        <w:rPr>
          <w:rFonts w:ascii="Arial" w:hAnsi="Arial" w:cs="Arial"/>
          <w:color w:val="00B0F0"/>
          <w:sz w:val="22"/>
          <w:szCs w:val="22"/>
        </w:rPr>
        <w:t xml:space="preserve"> por monto de oferta más baja se le otorgará un puntaje de 48 puntos, a la oferta que ocupe el tercer lugar por monto de oferta más baja se le otorgará 46 puntos y a las ofertas que ocupen el cuarto lugar en adelante por monto de oferta más se les descontará dos (2) puntos sucesivamente.</w:t>
      </w:r>
    </w:p>
    <w:p w14:paraId="58089B3D" w14:textId="77777777" w:rsidR="002E6D96" w:rsidRPr="004D57C3" w:rsidRDefault="002E6D96" w:rsidP="002E6D9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385D1B" w14:textId="77777777" w:rsidR="002E6D96" w:rsidRDefault="002E6D96" w:rsidP="002E6D96">
      <w:pPr>
        <w:jc w:val="both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b/>
          <w:sz w:val="22"/>
          <w:szCs w:val="22"/>
        </w:rPr>
        <w:t>20. VALORACIÓN DE OFERTAS:</w:t>
      </w:r>
      <w:r w:rsidR="004D57C3" w:rsidRPr="004D57C3">
        <w:rPr>
          <w:rFonts w:ascii="Arial" w:hAnsi="Arial" w:cs="Arial"/>
          <w:b/>
          <w:sz w:val="22"/>
          <w:szCs w:val="22"/>
        </w:rPr>
        <w:t xml:space="preserve"> </w:t>
      </w:r>
    </w:p>
    <w:p w14:paraId="5658CEDE" w14:textId="77777777" w:rsidR="003A2CC7" w:rsidRPr="004D57C3" w:rsidRDefault="003A2CC7" w:rsidP="002E6D96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804F05E" w14:textId="77777777" w:rsidR="002E6D96" w:rsidRPr="004D57C3" w:rsidRDefault="002E6D96" w:rsidP="002E6D96">
      <w:pPr>
        <w:jc w:val="both"/>
        <w:rPr>
          <w:rFonts w:ascii="Arial" w:hAnsi="Arial" w:cs="Arial"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>Para la valoración se considera los siguientes criterios:</w:t>
      </w:r>
    </w:p>
    <w:p w14:paraId="60861831" w14:textId="77777777" w:rsidR="002E6D96" w:rsidRPr="004D57C3" w:rsidRDefault="002E6D96" w:rsidP="002E6D9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2EF7" w:rsidRPr="004D57C3" w14:paraId="644FEE74" w14:textId="77777777" w:rsidTr="000A2EF7">
        <w:tc>
          <w:tcPr>
            <w:tcW w:w="4530" w:type="dxa"/>
          </w:tcPr>
          <w:p w14:paraId="135B0C09" w14:textId="77777777" w:rsidR="000A2EF7" w:rsidRPr="004D57C3" w:rsidRDefault="000A2EF7" w:rsidP="000A2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7C3">
              <w:rPr>
                <w:rFonts w:ascii="Arial" w:hAnsi="Arial" w:cs="Arial"/>
                <w:b/>
                <w:sz w:val="20"/>
                <w:szCs w:val="20"/>
              </w:rPr>
              <w:t>PARÁMETRO</w:t>
            </w:r>
          </w:p>
        </w:tc>
        <w:tc>
          <w:tcPr>
            <w:tcW w:w="4530" w:type="dxa"/>
          </w:tcPr>
          <w:p w14:paraId="26E96EE4" w14:textId="77777777" w:rsidR="000A2EF7" w:rsidRPr="004D57C3" w:rsidRDefault="000A2EF7" w:rsidP="000A2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7C3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0A2EF7" w:rsidRPr="004D57C3" w14:paraId="4CECA7E3" w14:textId="77777777" w:rsidTr="000A2EF7">
        <w:tc>
          <w:tcPr>
            <w:tcW w:w="4530" w:type="dxa"/>
          </w:tcPr>
          <w:p w14:paraId="697BB8DF" w14:textId="77777777" w:rsidR="000A2EF7" w:rsidRPr="004D57C3" w:rsidRDefault="000A2EF7" w:rsidP="002E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C3">
              <w:rPr>
                <w:rFonts w:ascii="Arial" w:hAnsi="Arial" w:cs="Arial"/>
                <w:sz w:val="20"/>
                <w:szCs w:val="20"/>
              </w:rPr>
              <w:t>Experiencia general</w:t>
            </w:r>
          </w:p>
        </w:tc>
        <w:tc>
          <w:tcPr>
            <w:tcW w:w="4530" w:type="dxa"/>
          </w:tcPr>
          <w:p w14:paraId="4A702FF5" w14:textId="77777777" w:rsidR="000A2EF7" w:rsidRPr="00F66CD1" w:rsidRDefault="0074584F" w:rsidP="002E6D96">
            <w:pPr>
              <w:jc w:val="both"/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</w:pPr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Hasta 15 puntos</w:t>
            </w:r>
          </w:p>
        </w:tc>
      </w:tr>
      <w:tr w:rsidR="0074584F" w:rsidRPr="004D57C3" w14:paraId="13EE19C5" w14:textId="77777777" w:rsidTr="000A2EF7">
        <w:tc>
          <w:tcPr>
            <w:tcW w:w="4530" w:type="dxa"/>
          </w:tcPr>
          <w:p w14:paraId="2DF1A029" w14:textId="77777777" w:rsidR="0074584F" w:rsidRPr="004D57C3" w:rsidRDefault="0074584F" w:rsidP="00745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C3">
              <w:rPr>
                <w:rFonts w:ascii="Arial" w:hAnsi="Arial" w:cs="Arial"/>
                <w:sz w:val="20"/>
                <w:szCs w:val="20"/>
              </w:rPr>
              <w:t>Experiencia específica</w:t>
            </w:r>
          </w:p>
        </w:tc>
        <w:tc>
          <w:tcPr>
            <w:tcW w:w="4530" w:type="dxa"/>
          </w:tcPr>
          <w:p w14:paraId="2999FF91" w14:textId="77777777" w:rsidR="0074584F" w:rsidRPr="00F66CD1" w:rsidRDefault="0074584F" w:rsidP="0074584F">
            <w:pPr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</w:pPr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Hasta 15 puntos</w:t>
            </w:r>
          </w:p>
        </w:tc>
      </w:tr>
      <w:tr w:rsidR="0074584F" w:rsidRPr="004D57C3" w14:paraId="29A710AF" w14:textId="77777777" w:rsidTr="000A2EF7">
        <w:tc>
          <w:tcPr>
            <w:tcW w:w="4530" w:type="dxa"/>
          </w:tcPr>
          <w:p w14:paraId="305F67F8" w14:textId="77777777" w:rsidR="0074584F" w:rsidRPr="004D57C3" w:rsidRDefault="0074584F" w:rsidP="00745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C3">
              <w:rPr>
                <w:rFonts w:ascii="Arial" w:hAnsi="Arial" w:cs="Arial"/>
                <w:sz w:val="20"/>
                <w:szCs w:val="20"/>
              </w:rPr>
              <w:t>Calificación de Riesgos de Compañía Aseguradora</w:t>
            </w:r>
          </w:p>
        </w:tc>
        <w:tc>
          <w:tcPr>
            <w:tcW w:w="4530" w:type="dxa"/>
          </w:tcPr>
          <w:p w14:paraId="572460EC" w14:textId="77777777" w:rsidR="0074584F" w:rsidRPr="00F66CD1" w:rsidRDefault="0074584F" w:rsidP="0074584F">
            <w:pPr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</w:pPr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Hasta 15 puntos</w:t>
            </w:r>
          </w:p>
        </w:tc>
      </w:tr>
      <w:tr w:rsidR="000A2EF7" w:rsidRPr="004D57C3" w14:paraId="5397B6D1" w14:textId="77777777" w:rsidTr="000A2EF7">
        <w:tc>
          <w:tcPr>
            <w:tcW w:w="4530" w:type="dxa"/>
          </w:tcPr>
          <w:p w14:paraId="0937BFFA" w14:textId="77777777" w:rsidR="000A2EF7" w:rsidRPr="004D57C3" w:rsidRDefault="000A2EF7" w:rsidP="002E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C3">
              <w:rPr>
                <w:rFonts w:ascii="Arial" w:hAnsi="Arial" w:cs="Arial"/>
                <w:sz w:val="20"/>
                <w:szCs w:val="20"/>
              </w:rPr>
              <w:t>Oferta económica</w:t>
            </w:r>
          </w:p>
        </w:tc>
        <w:tc>
          <w:tcPr>
            <w:tcW w:w="4530" w:type="dxa"/>
          </w:tcPr>
          <w:p w14:paraId="3ACC885A" w14:textId="77777777" w:rsidR="000A2EF7" w:rsidRPr="00F66CD1" w:rsidRDefault="0074584F" w:rsidP="002E6D96">
            <w:pPr>
              <w:jc w:val="both"/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</w:pPr>
            <w:proofErr w:type="spellStart"/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Desde</w:t>
            </w:r>
            <w:proofErr w:type="spellEnd"/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 xml:space="preserve"> 50 </w:t>
            </w:r>
            <w:proofErr w:type="spellStart"/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puntos</w:t>
            </w:r>
            <w:proofErr w:type="spellEnd"/>
          </w:p>
        </w:tc>
      </w:tr>
      <w:tr w:rsidR="000A2EF7" w:rsidRPr="004D57C3" w14:paraId="2835B78B" w14:textId="77777777" w:rsidTr="000A2EF7">
        <w:tc>
          <w:tcPr>
            <w:tcW w:w="4530" w:type="dxa"/>
          </w:tcPr>
          <w:p w14:paraId="7E4D4CC2" w14:textId="77777777" w:rsidR="000A2EF7" w:rsidRPr="004D57C3" w:rsidRDefault="000A2EF7" w:rsidP="002E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7C3">
              <w:rPr>
                <w:rFonts w:ascii="Arial" w:hAnsi="Arial" w:cs="Arial"/>
                <w:sz w:val="20"/>
                <w:szCs w:val="20"/>
              </w:rPr>
              <w:t>Otros parámetros</w:t>
            </w:r>
          </w:p>
        </w:tc>
        <w:tc>
          <w:tcPr>
            <w:tcW w:w="4530" w:type="dxa"/>
          </w:tcPr>
          <w:p w14:paraId="7686B0B3" w14:textId="77777777" w:rsidR="000A2EF7" w:rsidRPr="00F66CD1" w:rsidRDefault="0074584F" w:rsidP="002E6D96">
            <w:pPr>
              <w:jc w:val="both"/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</w:pPr>
            <w:r w:rsidRPr="00F66CD1">
              <w:rPr>
                <w:rFonts w:ascii="Arial" w:eastAsiaTheme="minorHAnsi" w:hAnsi="Arial" w:cs="Arial"/>
                <w:color w:val="00B0F0"/>
                <w:sz w:val="22"/>
                <w:szCs w:val="22"/>
                <w:lang w:val="en-US" w:eastAsia="en-US"/>
              </w:rPr>
              <w:t>Hasta 5 puntos</w:t>
            </w:r>
          </w:p>
        </w:tc>
      </w:tr>
      <w:tr w:rsidR="000A2EF7" w:rsidRPr="004D57C3" w14:paraId="3926AE03" w14:textId="77777777" w:rsidTr="000A2EF7">
        <w:tc>
          <w:tcPr>
            <w:tcW w:w="4530" w:type="dxa"/>
          </w:tcPr>
          <w:p w14:paraId="2FCF145B" w14:textId="77777777" w:rsidR="000A2EF7" w:rsidRPr="004D57C3" w:rsidRDefault="000A2EF7" w:rsidP="000A2E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57C3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4530" w:type="dxa"/>
          </w:tcPr>
          <w:p w14:paraId="364CBE20" w14:textId="77777777" w:rsidR="000A2EF7" w:rsidRPr="004D57C3" w:rsidRDefault="0074584F" w:rsidP="002E6D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57C3">
              <w:rPr>
                <w:rFonts w:ascii="Arial" w:hAnsi="Arial" w:cs="Arial"/>
                <w:b/>
                <w:sz w:val="20"/>
                <w:szCs w:val="20"/>
              </w:rPr>
              <w:t>100 puntos</w:t>
            </w:r>
          </w:p>
        </w:tc>
      </w:tr>
    </w:tbl>
    <w:p w14:paraId="1BEE8182" w14:textId="77777777" w:rsidR="002E6D96" w:rsidRPr="004D57C3" w:rsidRDefault="002E6D96" w:rsidP="002E6D96">
      <w:pPr>
        <w:jc w:val="both"/>
        <w:rPr>
          <w:rFonts w:ascii="Arial" w:hAnsi="Arial" w:cs="Arial"/>
          <w:b/>
          <w:sz w:val="22"/>
          <w:szCs w:val="22"/>
        </w:rPr>
      </w:pPr>
    </w:p>
    <w:p w14:paraId="27EB1897" w14:textId="77777777" w:rsidR="005B75E5" w:rsidRDefault="005B75E5" w:rsidP="002E6D96">
      <w:pPr>
        <w:jc w:val="both"/>
        <w:rPr>
          <w:rFonts w:ascii="Arial" w:eastAsiaTheme="minorHAnsi" w:hAnsi="Arial" w:cs="Arial"/>
          <w:color w:val="00B0F0"/>
          <w:sz w:val="22"/>
          <w:szCs w:val="22"/>
          <w:lang w:val="en-US" w:eastAsia="en-US"/>
        </w:rPr>
      </w:pPr>
    </w:p>
    <w:p w14:paraId="011B33D3" w14:textId="77777777" w:rsidR="005B75E5" w:rsidRPr="006954E7" w:rsidRDefault="0068592F" w:rsidP="005B75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5B75E5" w:rsidRPr="006954E7">
        <w:rPr>
          <w:rFonts w:ascii="Arial" w:hAnsi="Arial" w:cs="Arial"/>
          <w:b/>
          <w:sz w:val="22"/>
          <w:szCs w:val="22"/>
        </w:rPr>
        <w:t>. DETERMINACIÓN DE IDENTIDAD PERSONAS JURÍDICAS:</w:t>
      </w:r>
    </w:p>
    <w:p w14:paraId="0B9FC666" w14:textId="77777777" w:rsidR="005B75E5" w:rsidRPr="006954E7" w:rsidRDefault="005B75E5" w:rsidP="005B75E5">
      <w:pPr>
        <w:jc w:val="both"/>
        <w:rPr>
          <w:rFonts w:ascii="Arial" w:hAnsi="Arial" w:cs="Arial"/>
          <w:b/>
          <w:sz w:val="22"/>
          <w:szCs w:val="22"/>
        </w:rPr>
      </w:pPr>
    </w:p>
    <w:p w14:paraId="0B8AF8FF" w14:textId="15344C95" w:rsidR="005B75E5" w:rsidRPr="006954E7" w:rsidRDefault="005B75E5" w:rsidP="005B75E5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 xml:space="preserve">Los oferentes deberán presentar en su oferta la determinación clara de la identidad de los accionistas, partícipes o socios mayoritarios de cada uno de los oferentes que sean personas jurídicas. A su </w:t>
      </w:r>
      <w:proofErr w:type="spellStart"/>
      <w:proofErr w:type="gramStart"/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>v</w:t>
      </w:r>
      <w:r w:rsidR="00F31CEA">
        <w:rPr>
          <w:rFonts w:ascii="Arial" w:eastAsia="Calibri" w:hAnsi="Arial" w:cs="Arial"/>
          <w:sz w:val="22"/>
          <w:szCs w:val="22"/>
          <w:lang w:val="es-EC" w:eastAsia="en-US"/>
        </w:rPr>
        <w:t>.</w:t>
      </w: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>ez</w:t>
      </w:r>
      <w:proofErr w:type="spellEnd"/>
      <w:proofErr w:type="gramEnd"/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 xml:space="preserve">, cuando el referido accionista, partícipe o socio mayoritario de aquella sea una persona jurídica, se deberá determinar la identidad de sus accionistas, partícipes o socios, </w:t>
      </w: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lastRenderedPageBreak/>
        <w:t>y así sucesivamente hasta transparentar la estructura de propiedad a nivel de personas naturales.</w:t>
      </w:r>
    </w:p>
    <w:p w14:paraId="6D7F079E" w14:textId="77777777" w:rsidR="005B75E5" w:rsidRPr="006954E7" w:rsidRDefault="005B75E5" w:rsidP="005B75E5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</w:p>
    <w:p w14:paraId="3D542AB4" w14:textId="77777777" w:rsidR="005B75E5" w:rsidRPr="00BE5321" w:rsidRDefault="005B75E5" w:rsidP="005B75E5">
      <w:pPr>
        <w:jc w:val="both"/>
        <w:rPr>
          <w:rFonts w:ascii="Arial" w:eastAsiaTheme="minorHAnsi" w:hAnsi="Arial" w:cs="Arial"/>
          <w:color w:val="00B0F0"/>
          <w:sz w:val="22"/>
          <w:szCs w:val="22"/>
          <w:lang w:val="es-EC" w:eastAsia="en-US"/>
        </w:rPr>
      </w:pPr>
      <w:r w:rsidRPr="006954E7">
        <w:rPr>
          <w:rFonts w:ascii="Arial" w:eastAsia="Calibri" w:hAnsi="Arial" w:cs="Arial"/>
          <w:sz w:val="22"/>
          <w:szCs w:val="22"/>
          <w:lang w:val="es-EC" w:eastAsia="en-US"/>
        </w:rPr>
        <w:t>Se excepciona de lo descrito, los oferentes que sean una entidad de derecho público.</w:t>
      </w:r>
    </w:p>
    <w:p w14:paraId="60F705A5" w14:textId="77777777" w:rsidR="00A443DD" w:rsidRPr="004D57C3" w:rsidRDefault="00A443DD" w:rsidP="00A443DD">
      <w:pPr>
        <w:pStyle w:val="Ttulo1"/>
        <w:rPr>
          <w:rFonts w:ascii="Arial" w:eastAsia="Times New Roman" w:hAnsi="Arial" w:cs="Arial"/>
          <w:b w:val="0"/>
          <w:bCs w:val="0"/>
          <w:sz w:val="22"/>
          <w:szCs w:val="22"/>
          <w:lang w:val="es-ES_tradnl" w:eastAsia="es-ES_tradnl"/>
        </w:rPr>
      </w:pPr>
    </w:p>
    <w:p w14:paraId="7FA06500" w14:textId="77777777" w:rsidR="004D57C3" w:rsidRPr="00BE5321" w:rsidRDefault="004D57C3" w:rsidP="00A443DD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474FBDF1" w14:textId="323ABEAF" w:rsidR="00A443DD" w:rsidRDefault="00A443DD" w:rsidP="00A443DD">
      <w:pPr>
        <w:pStyle w:val="Ttulo1"/>
        <w:rPr>
          <w:rFonts w:ascii="Arial" w:hAnsi="Arial" w:cs="Arial"/>
          <w:b w:val="0"/>
          <w:sz w:val="22"/>
          <w:szCs w:val="22"/>
        </w:rPr>
      </w:pPr>
      <w:proofErr w:type="spellStart"/>
      <w:r w:rsidRPr="004D57C3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="00F31CEA">
        <w:rPr>
          <w:rFonts w:ascii="Arial" w:hAnsi="Arial" w:cs="Arial"/>
          <w:b w:val="0"/>
          <w:sz w:val="22"/>
          <w:szCs w:val="22"/>
        </w:rPr>
        <w:t>,</w:t>
      </w:r>
      <w:bookmarkStart w:id="1" w:name="_GoBack"/>
      <w:bookmarkEnd w:id="1"/>
    </w:p>
    <w:p w14:paraId="593693A7" w14:textId="77777777" w:rsidR="00A443DD" w:rsidRPr="004D57C3" w:rsidRDefault="00A443DD" w:rsidP="009D5FE7">
      <w:pPr>
        <w:pStyle w:val="Ttulo1"/>
        <w:ind w:left="0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9C52CF" w14:paraId="2826779C" w14:textId="77777777" w:rsidTr="00DA7899">
        <w:trPr>
          <w:trHeight w:val="236"/>
        </w:trPr>
        <w:tc>
          <w:tcPr>
            <w:tcW w:w="1583" w:type="pct"/>
          </w:tcPr>
          <w:p w14:paraId="1DCB43FD" w14:textId="35CCCE79" w:rsidR="009C52CF" w:rsidRPr="00344CE3" w:rsidRDefault="009C52C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BE5321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19FBFDFB" w14:textId="73A9D7A5" w:rsidR="009C52CF" w:rsidRPr="00344CE3" w:rsidRDefault="009C52C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</w:t>
            </w:r>
            <w:r w:rsidR="00BE5321">
              <w:rPr>
                <w:b/>
                <w:bCs/>
              </w:rPr>
              <w:t>sado</w:t>
            </w:r>
          </w:p>
        </w:tc>
        <w:tc>
          <w:tcPr>
            <w:tcW w:w="1665" w:type="pct"/>
          </w:tcPr>
          <w:p w14:paraId="734B3B15" w14:textId="684F1192" w:rsidR="009C52CF" w:rsidRPr="00344CE3" w:rsidRDefault="009C52C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BE5321">
              <w:rPr>
                <w:b/>
                <w:bCs/>
              </w:rPr>
              <w:t>do</w:t>
            </w:r>
          </w:p>
        </w:tc>
      </w:tr>
      <w:tr w:rsidR="009C52CF" w14:paraId="545012BA" w14:textId="77777777" w:rsidTr="00DA7899">
        <w:trPr>
          <w:trHeight w:val="1126"/>
        </w:trPr>
        <w:tc>
          <w:tcPr>
            <w:tcW w:w="1583" w:type="pct"/>
          </w:tcPr>
          <w:p w14:paraId="66C77390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0CA937A1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52C7C692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519B9E3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56FD140D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45F727B7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35BB6E06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7278AE26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ABDDD12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00D6B95C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4891AC47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178AFFEE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4A890E20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6EFB21A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34904612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  <w:p w14:paraId="1DDCE3FA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3E22B394" w14:textId="77777777" w:rsidR="009C52CF" w:rsidRPr="00820DD1" w:rsidRDefault="009C52C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1EEB3ADF" w14:textId="77777777" w:rsidR="00A443DD" w:rsidRPr="004D57C3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413E338F" w14:textId="77777777" w:rsidR="00A443DD" w:rsidRPr="004D57C3" w:rsidRDefault="00A443DD" w:rsidP="00A443DD">
      <w:pPr>
        <w:rPr>
          <w:rFonts w:ascii="Arial" w:hAnsi="Arial" w:cs="Arial"/>
          <w:sz w:val="22"/>
          <w:szCs w:val="22"/>
        </w:rPr>
      </w:pPr>
    </w:p>
    <w:p w14:paraId="0A4CD7C9" w14:textId="77777777" w:rsidR="00A443DD" w:rsidRPr="004D57C3" w:rsidRDefault="00A443DD" w:rsidP="00A443DD">
      <w:pPr>
        <w:rPr>
          <w:rFonts w:ascii="Arial" w:hAnsi="Arial" w:cs="Arial"/>
          <w:sz w:val="22"/>
          <w:szCs w:val="22"/>
        </w:rPr>
      </w:pPr>
    </w:p>
    <w:sectPr w:rsidR="00A443DD" w:rsidRPr="004D57C3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5A14" w14:textId="77777777" w:rsidR="001D082B" w:rsidRDefault="001D082B">
      <w:r>
        <w:separator/>
      </w:r>
    </w:p>
  </w:endnote>
  <w:endnote w:type="continuationSeparator" w:id="0">
    <w:p w14:paraId="682FA2F2" w14:textId="77777777" w:rsidR="001D082B" w:rsidRDefault="001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DBF2" w14:textId="77777777" w:rsidR="00631735" w:rsidRDefault="006317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5CF6" w14:textId="77777777" w:rsidR="00631735" w:rsidRDefault="00631735" w:rsidP="00631735"/>
  <w:p w14:paraId="3C6E2B26" w14:textId="77777777" w:rsidR="00631735" w:rsidRDefault="00631735" w:rsidP="00631735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5BFA7B" wp14:editId="06A5411D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776BBD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BFB5E7" wp14:editId="31B213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4EABD3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697A2C37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0EFF2AE7" w14:textId="3533D12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31CEA" w:rsidRPr="00F31CEA">
      <w:rPr>
        <w:rFonts w:ascii="Arial" w:hAnsi="Arial" w:cs="Arial"/>
        <w:b/>
        <w:bCs/>
        <w:noProof/>
        <w:sz w:val="16"/>
        <w:szCs w:val="16"/>
        <w:lang w:val="es-ES"/>
      </w:rPr>
      <w:t>8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31CEA" w:rsidRPr="00F31CEA">
      <w:rPr>
        <w:rFonts w:ascii="Arial" w:hAnsi="Arial" w:cs="Arial"/>
        <w:b/>
        <w:bCs/>
        <w:noProof/>
        <w:sz w:val="16"/>
        <w:szCs w:val="16"/>
        <w:lang w:val="es-ES"/>
      </w:rPr>
      <w:t>8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E1D8920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E228D14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0E8B2D3B" w14:textId="77777777" w:rsidR="00631735" w:rsidRPr="00BE5843" w:rsidRDefault="001D082B" w:rsidP="00631735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631735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C52F8BE" w14:textId="77777777" w:rsidR="00EF0E7E" w:rsidRPr="00631735" w:rsidRDefault="00EF0E7E" w:rsidP="00631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FF81" w14:textId="77777777" w:rsidR="00631735" w:rsidRDefault="00631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3E7A" w14:textId="77777777" w:rsidR="001D082B" w:rsidRDefault="001D082B">
      <w:r>
        <w:separator/>
      </w:r>
    </w:p>
  </w:footnote>
  <w:footnote w:type="continuationSeparator" w:id="0">
    <w:p w14:paraId="479AF313" w14:textId="77777777" w:rsidR="001D082B" w:rsidRDefault="001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D568" w14:textId="77777777" w:rsidR="00631735" w:rsidRDefault="006317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D1F2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978F24" wp14:editId="065B3DE9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62C159" wp14:editId="68A06BE4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57EDB5" wp14:editId="61471776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A39C6D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57EDB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17A39C6D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6733E7C2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D4EFC2E" w14:textId="77777777" w:rsidR="004D57C3" w:rsidRPr="00F70FC4" w:rsidRDefault="004D57C3" w:rsidP="004D57C3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A2D5078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816C" w14:textId="77777777" w:rsidR="00631735" w:rsidRDefault="00631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2C4"/>
    <w:multiLevelType w:val="hybridMultilevel"/>
    <w:tmpl w:val="86BE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6FE"/>
    <w:multiLevelType w:val="hybridMultilevel"/>
    <w:tmpl w:val="F3E8A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6FB0"/>
    <w:multiLevelType w:val="hybridMultilevel"/>
    <w:tmpl w:val="6EA2DC36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2C9"/>
    <w:multiLevelType w:val="hybridMultilevel"/>
    <w:tmpl w:val="9AE02EF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1A3D"/>
    <w:multiLevelType w:val="hybridMultilevel"/>
    <w:tmpl w:val="8722B5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5059"/>
    <w:multiLevelType w:val="hybridMultilevel"/>
    <w:tmpl w:val="7A9AD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4E5"/>
    <w:multiLevelType w:val="hybridMultilevel"/>
    <w:tmpl w:val="1E62FD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6AAD"/>
    <w:multiLevelType w:val="hybridMultilevel"/>
    <w:tmpl w:val="919CB26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0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214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60" w:hanging="360"/>
      </w:pPr>
    </w:lvl>
    <w:lvl w:ilvl="2" w:tplc="0C0A001B" w:tentative="1">
      <w:start w:val="1"/>
      <w:numFmt w:val="lowerRoman"/>
      <w:lvlText w:val="%3."/>
      <w:lvlJc w:val="right"/>
      <w:pPr>
        <w:ind w:left="3580" w:hanging="180"/>
      </w:pPr>
    </w:lvl>
    <w:lvl w:ilvl="3" w:tplc="0C0A000F" w:tentative="1">
      <w:start w:val="1"/>
      <w:numFmt w:val="decimal"/>
      <w:lvlText w:val="%4."/>
      <w:lvlJc w:val="left"/>
      <w:pPr>
        <w:ind w:left="4300" w:hanging="360"/>
      </w:pPr>
    </w:lvl>
    <w:lvl w:ilvl="4" w:tplc="0C0A0019" w:tentative="1">
      <w:start w:val="1"/>
      <w:numFmt w:val="lowerLetter"/>
      <w:lvlText w:val="%5."/>
      <w:lvlJc w:val="left"/>
      <w:pPr>
        <w:ind w:left="5020" w:hanging="360"/>
      </w:pPr>
    </w:lvl>
    <w:lvl w:ilvl="5" w:tplc="0C0A001B" w:tentative="1">
      <w:start w:val="1"/>
      <w:numFmt w:val="lowerRoman"/>
      <w:lvlText w:val="%6."/>
      <w:lvlJc w:val="right"/>
      <w:pPr>
        <w:ind w:left="5740" w:hanging="180"/>
      </w:pPr>
    </w:lvl>
    <w:lvl w:ilvl="6" w:tplc="0C0A000F" w:tentative="1">
      <w:start w:val="1"/>
      <w:numFmt w:val="decimal"/>
      <w:lvlText w:val="%7."/>
      <w:lvlJc w:val="left"/>
      <w:pPr>
        <w:ind w:left="6460" w:hanging="360"/>
      </w:pPr>
    </w:lvl>
    <w:lvl w:ilvl="7" w:tplc="0C0A0019" w:tentative="1">
      <w:start w:val="1"/>
      <w:numFmt w:val="lowerLetter"/>
      <w:lvlText w:val="%8."/>
      <w:lvlJc w:val="left"/>
      <w:pPr>
        <w:ind w:left="7180" w:hanging="360"/>
      </w:pPr>
    </w:lvl>
    <w:lvl w:ilvl="8" w:tplc="0C0A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3" w15:restartNumberingAfterBreak="0">
    <w:nsid w:val="7A4F79A1"/>
    <w:multiLevelType w:val="hybridMultilevel"/>
    <w:tmpl w:val="8C66905A"/>
    <w:lvl w:ilvl="0" w:tplc="5B2882C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2"/>
  </w:num>
  <w:num w:numId="3">
    <w:abstractNumId w:val="5"/>
  </w:num>
  <w:num w:numId="4">
    <w:abstractNumId w:val="29"/>
  </w:num>
  <w:num w:numId="5">
    <w:abstractNumId w:val="45"/>
  </w:num>
  <w:num w:numId="6">
    <w:abstractNumId w:val="13"/>
  </w:num>
  <w:num w:numId="7">
    <w:abstractNumId w:val="31"/>
  </w:num>
  <w:num w:numId="8">
    <w:abstractNumId w:val="40"/>
  </w:num>
  <w:num w:numId="9">
    <w:abstractNumId w:val="4"/>
  </w:num>
  <w:num w:numId="10">
    <w:abstractNumId w:val="28"/>
  </w:num>
  <w:num w:numId="11">
    <w:abstractNumId w:val="27"/>
  </w:num>
  <w:num w:numId="12">
    <w:abstractNumId w:val="39"/>
  </w:num>
  <w:num w:numId="13">
    <w:abstractNumId w:val="16"/>
  </w:num>
  <w:num w:numId="14">
    <w:abstractNumId w:val="30"/>
  </w:num>
  <w:num w:numId="15">
    <w:abstractNumId w:val="0"/>
  </w:num>
  <w:num w:numId="16">
    <w:abstractNumId w:val="33"/>
  </w:num>
  <w:num w:numId="17">
    <w:abstractNumId w:val="26"/>
  </w:num>
  <w:num w:numId="18">
    <w:abstractNumId w:val="21"/>
  </w:num>
  <w:num w:numId="19">
    <w:abstractNumId w:val="37"/>
  </w:num>
  <w:num w:numId="20">
    <w:abstractNumId w:val="35"/>
  </w:num>
  <w:num w:numId="21">
    <w:abstractNumId w:val="25"/>
  </w:num>
  <w:num w:numId="22">
    <w:abstractNumId w:val="20"/>
  </w:num>
  <w:num w:numId="23">
    <w:abstractNumId w:val="14"/>
  </w:num>
  <w:num w:numId="24">
    <w:abstractNumId w:val="18"/>
  </w:num>
  <w:num w:numId="25">
    <w:abstractNumId w:val="1"/>
  </w:num>
  <w:num w:numId="26">
    <w:abstractNumId w:val="12"/>
  </w:num>
  <w:num w:numId="27">
    <w:abstractNumId w:val="34"/>
  </w:num>
  <w:num w:numId="28">
    <w:abstractNumId w:val="38"/>
  </w:num>
  <w:num w:numId="29">
    <w:abstractNumId w:val="7"/>
  </w:num>
  <w:num w:numId="30">
    <w:abstractNumId w:val="2"/>
  </w:num>
  <w:num w:numId="31">
    <w:abstractNumId w:val="24"/>
  </w:num>
  <w:num w:numId="32">
    <w:abstractNumId w:val="23"/>
  </w:num>
  <w:num w:numId="33">
    <w:abstractNumId w:val="41"/>
  </w:num>
  <w:num w:numId="34">
    <w:abstractNumId w:val="36"/>
  </w:num>
  <w:num w:numId="35">
    <w:abstractNumId w:val="11"/>
  </w:num>
  <w:num w:numId="36">
    <w:abstractNumId w:val="44"/>
  </w:num>
  <w:num w:numId="37">
    <w:abstractNumId w:val="8"/>
  </w:num>
  <w:num w:numId="38">
    <w:abstractNumId w:val="6"/>
  </w:num>
  <w:num w:numId="39">
    <w:abstractNumId w:val="3"/>
  </w:num>
  <w:num w:numId="40">
    <w:abstractNumId w:val="42"/>
  </w:num>
  <w:num w:numId="41">
    <w:abstractNumId w:val="17"/>
  </w:num>
  <w:num w:numId="42">
    <w:abstractNumId w:val="15"/>
  </w:num>
  <w:num w:numId="43">
    <w:abstractNumId w:val="9"/>
  </w:num>
  <w:num w:numId="44">
    <w:abstractNumId w:val="22"/>
  </w:num>
  <w:num w:numId="45">
    <w:abstractNumId w:val="1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41D41"/>
    <w:rsid w:val="00071795"/>
    <w:rsid w:val="00083A60"/>
    <w:rsid w:val="000928AF"/>
    <w:rsid w:val="00094BA5"/>
    <w:rsid w:val="000A2EF7"/>
    <w:rsid w:val="000D13E0"/>
    <w:rsid w:val="000D2485"/>
    <w:rsid w:val="000F327A"/>
    <w:rsid w:val="0015461D"/>
    <w:rsid w:val="001B063D"/>
    <w:rsid w:val="001D082B"/>
    <w:rsid w:val="001F2BEA"/>
    <w:rsid w:val="001F4E52"/>
    <w:rsid w:val="00212A61"/>
    <w:rsid w:val="00240B8D"/>
    <w:rsid w:val="00294C33"/>
    <w:rsid w:val="0029549C"/>
    <w:rsid w:val="002A3805"/>
    <w:rsid w:val="002D2FE1"/>
    <w:rsid w:val="002E3742"/>
    <w:rsid w:val="002E6D96"/>
    <w:rsid w:val="00341272"/>
    <w:rsid w:val="00364003"/>
    <w:rsid w:val="003A2CC7"/>
    <w:rsid w:val="003B62EB"/>
    <w:rsid w:val="003C4851"/>
    <w:rsid w:val="003F7DF6"/>
    <w:rsid w:val="004031BC"/>
    <w:rsid w:val="00410064"/>
    <w:rsid w:val="004452BF"/>
    <w:rsid w:val="00474CB3"/>
    <w:rsid w:val="00490903"/>
    <w:rsid w:val="004D57C3"/>
    <w:rsid w:val="00526821"/>
    <w:rsid w:val="00544DA9"/>
    <w:rsid w:val="00564875"/>
    <w:rsid w:val="005B5B58"/>
    <w:rsid w:val="005B75E5"/>
    <w:rsid w:val="005C1C00"/>
    <w:rsid w:val="00631735"/>
    <w:rsid w:val="006420E3"/>
    <w:rsid w:val="0068592F"/>
    <w:rsid w:val="006D445F"/>
    <w:rsid w:val="006F5AEF"/>
    <w:rsid w:val="0074584F"/>
    <w:rsid w:val="007568B5"/>
    <w:rsid w:val="00783595"/>
    <w:rsid w:val="007A7F49"/>
    <w:rsid w:val="007E46C7"/>
    <w:rsid w:val="00803936"/>
    <w:rsid w:val="00822F5F"/>
    <w:rsid w:val="0083252A"/>
    <w:rsid w:val="00850389"/>
    <w:rsid w:val="00853022"/>
    <w:rsid w:val="00873B2A"/>
    <w:rsid w:val="0089773B"/>
    <w:rsid w:val="008A5E96"/>
    <w:rsid w:val="008D75B1"/>
    <w:rsid w:val="00902FF4"/>
    <w:rsid w:val="0093336C"/>
    <w:rsid w:val="009529E2"/>
    <w:rsid w:val="009537A2"/>
    <w:rsid w:val="009C21C4"/>
    <w:rsid w:val="009C52CF"/>
    <w:rsid w:val="009D5FE7"/>
    <w:rsid w:val="009E47D2"/>
    <w:rsid w:val="00A02D6F"/>
    <w:rsid w:val="00A146FB"/>
    <w:rsid w:val="00A443DD"/>
    <w:rsid w:val="00A67AD0"/>
    <w:rsid w:val="00AA29A6"/>
    <w:rsid w:val="00AE29E0"/>
    <w:rsid w:val="00B15FFD"/>
    <w:rsid w:val="00B449E4"/>
    <w:rsid w:val="00B60F85"/>
    <w:rsid w:val="00B734BB"/>
    <w:rsid w:val="00B73AFF"/>
    <w:rsid w:val="00B817D3"/>
    <w:rsid w:val="00B87BFD"/>
    <w:rsid w:val="00B9396C"/>
    <w:rsid w:val="00B93C4A"/>
    <w:rsid w:val="00BA4911"/>
    <w:rsid w:val="00BC351C"/>
    <w:rsid w:val="00BD597B"/>
    <w:rsid w:val="00BE5321"/>
    <w:rsid w:val="00BF3030"/>
    <w:rsid w:val="00C021C8"/>
    <w:rsid w:val="00C1432A"/>
    <w:rsid w:val="00C53B30"/>
    <w:rsid w:val="00C55922"/>
    <w:rsid w:val="00CB774F"/>
    <w:rsid w:val="00CD626E"/>
    <w:rsid w:val="00CD6AC1"/>
    <w:rsid w:val="00D03010"/>
    <w:rsid w:val="00D42D9F"/>
    <w:rsid w:val="00DA2B12"/>
    <w:rsid w:val="00DD7D05"/>
    <w:rsid w:val="00E03DBE"/>
    <w:rsid w:val="00E41446"/>
    <w:rsid w:val="00E53376"/>
    <w:rsid w:val="00E53D09"/>
    <w:rsid w:val="00E56D29"/>
    <w:rsid w:val="00E655CF"/>
    <w:rsid w:val="00E80957"/>
    <w:rsid w:val="00E96891"/>
    <w:rsid w:val="00EA672B"/>
    <w:rsid w:val="00EC2DBC"/>
    <w:rsid w:val="00EE3F0C"/>
    <w:rsid w:val="00EF0E7E"/>
    <w:rsid w:val="00F31CEA"/>
    <w:rsid w:val="00F3627C"/>
    <w:rsid w:val="00F37CC3"/>
    <w:rsid w:val="00F66CD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F3FB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2025-01-09T20:57:00Z</dcterms:created>
  <dcterms:modified xsi:type="dcterms:W3CDTF">2025-01-17T19:48:00Z</dcterms:modified>
</cp:coreProperties>
</file>